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before="1400"/>
        <w:jc w:val="center"/>
      </w:pPr>
      <w:r>
        <w:rPr>
          <w:rFonts w:ascii="Liberation Sans" w:hAnsi="Liberation Sans"/>
          <w:b/>
          <w:color w:val="287D7A"/>
          <w:sz w:val="24"/>
        </w:rPr>
        <w:t>INVARIANT ENGINEERING</w:t>
      </w:r>
    </w:p>
    <w:p>
      <w:pPr>
        <w:widowControl/>
        <w:spacing w:before="360"/>
        <w:jc w:val="center"/>
      </w:pPr>
      <w:r>
        <w:rPr>
          <w:rFonts w:ascii="Liberation Sans" w:hAnsi="Liberation Sans"/>
          <w:b/>
          <w:color w:val="17324D"/>
          <w:sz w:val="62"/>
        </w:rPr>
        <w:t>Synthetic Auditability</w:t>
        <w:br/>
        <w:t>Sample Packet</w:t>
      </w:r>
    </w:p>
    <w:p>
      <w:pPr>
        <w:widowControl/>
        <w:spacing w:before="320"/>
        <w:jc w:val="center"/>
      </w:pPr>
      <w:r>
        <w:rPr>
          <w:rFonts w:ascii="Liberation Sans" w:hAnsi="Liberation Sans"/>
          <w:b w:val="0"/>
          <w:color w:val="1E5A7A"/>
          <w:sz w:val="32"/>
        </w:rPr>
        <w:t>AI-assisted commercial credit memorandum drafting</w:t>
        <w:br/>
        <w:t>and policy-exception support</w:t>
      </w:r>
    </w:p>
    <w:p>
      <w:pPr>
        <w:widowControl/>
        <w:spacing w:before="800"/>
        <w:jc w:val="center"/>
      </w:pPr>
      <w:r>
        <w:rPr>
          <w:rFonts w:ascii="Liberation Sans" w:hAnsi="Liberation Sans"/>
          <w:b/>
          <w:color w:val="287D7A"/>
          <w:sz w:val="26"/>
        </w:rPr>
        <w:t>Six-Month Reconstruction Test v1.0</w:t>
      </w:r>
    </w:p>
    <w:p>
      <w:pPr>
        <w:widowControl/>
        <w:jc w:val="center"/>
      </w:pPr>
      <w:r>
        <w:rPr>
          <w:rFonts w:ascii="Liberation Sans" w:hAnsi="Liberation Sans"/>
          <w:color w:val="5E6A73"/>
          <w:sz w:val="20"/>
        </w:rPr>
        <w:t>Packet version 1.0  |  Methodology source reviewed July 21, 2026</w:t>
        <w:br/>
        <w:t>Packet reviewed July 24, 2026  |  Synthetic transaction SCM-2026-0042</w:t>
      </w:r>
    </w:p>
    <w:p>
      <w:pPr>
        <w:widowControl/>
        <w:spacing w:before="1100"/>
        <w:jc w:val="center"/>
      </w:pPr>
      <w:r>
        <w:rPr>
          <w:rFonts w:ascii="Liberation Sans" w:hAnsi="Liberation Sans"/>
          <w:i/>
          <w:color w:val="25313B"/>
          <w:sz w:val="19"/>
        </w:rPr>
        <w:t>Example Regional Bank and Example Borrower LLC are fictional.</w:t>
        <w:br/>
        <w:t>This is not a client case study, audit opinion, legal opinion, certification, or compliance conclusion.</w:t>
      </w:r>
    </w:p>
    <w:p>
      <w:pPr>
        <w:widowControl/>
      </w:pPr>
      <w:r>
        <w:br w:type="page"/>
      </w:r>
    </w:p>
    <w:p>
      <w:bookmarkStart w:id="1" w:name="toc"/>
      <w:pPr>
        <w:pStyle w:val="Heading1"/>
        <w:keepNext/>
        <w:keepLines/>
        <w:widowControl/>
      </w:pPr>
      <w:r>
        <w:rPr>
          <w:rFonts w:ascii="Liberation Sans" w:hAnsi="Liberation Sans"/>
          <w:b/>
          <w:color w:val="17324D"/>
          <w:sz w:val="36"/>
        </w:rPr>
        <w:t>Contents and navigation</w:t>
      </w:r>
      <w:bookmarkEnd w:id="1"/>
    </w:p>
    <w:p>
      <w:pPr>
        <w:keepNext w:val="0"/>
        <w:keepLines w:val="0"/>
        <w:widowControl/>
        <w:spacing w:before="0" w:after="200" w:line="252" w:lineRule="auto"/>
      </w:pPr>
      <w:r>
        <w:rPr>
          <w:rFonts w:ascii="Liberation Sans" w:hAnsi="Liberation Sans"/>
          <w:b w:val="0"/>
          <w:i w:val="0"/>
          <w:color w:val="5E6A73"/>
          <w:sz w:val="18"/>
        </w:rPr>
        <w:t>Use the links below to move through the reference packet. Page numbers are shown for the final rendered layout.</w:t>
      </w:r>
    </w:p>
    <w:tbl>
      <w:tblPr>
        <w:tblW w:type="auto" w:w="0"/>
        <w:jc w:val="center"/>
        <w:tblLayout w:type="fixed"/>
        <w:tblLook w:firstColumn="1" w:firstRow="1" w:lastColumn="0" w:lastRow="0" w:noHBand="0" w:noVBand="1" w:val="04A0"/>
      </w:tblPr>
      <w:tblGrid>
        <w:gridCol w:w="5083"/>
        <w:gridCol w:w="5083"/>
      </w:tblGrid>
      <w:tr>
        <w:trPr>
          <w:cantSplit/>
        </w:trPr>
        <w:tc>
          <w:tcPr>
            <w:tcW w:type="dxa" w:w="5083"/>
            <w:tcMar>
              <w:top w:w="115" w:type="dxa"/>
              <w:start w:w="100" w:type="dxa"/>
              <w:bottom w:w="115" w:type="dxa"/>
              <w:end w:w="100" w:type="dxa"/>
            </w:tcMar>
          </w:tcPr>
          <w:p>
            <w:pPr>
              <w:keepNext w:val="0"/>
              <w:keepLines/>
              <w:widowControl/>
              <w:spacing w:before="0" w:after="0" w:line="252" w:lineRule="auto"/>
            </w:pPr>
            <w:hyperlink w:anchor="executive" w:history="1">
              <w:r>
                <w:rPr>
                  <w:rFonts w:ascii="Liberation Sans" w:hAnsi="Liberation Sans"/>
                  <w:color w:val="1E5A7A"/>
                  <w:u w:val="single"/>
                </w:rPr>
                <w:t>Executive summary and scope</w:t>
              </w:r>
            </w:hyperlink>
          </w:p>
        </w:tc>
        <w:tc>
          <w:tcPr>
            <w:tcW w:type="dxa" w:w="5083"/>
            <w:tcMar>
              <w:top w:w="115" w:type="dxa"/>
              <w:start w:w="100" w:type="dxa"/>
              <w:bottom w:w="115" w:type="dxa"/>
              <w:end w:w="100" w:type="dxa"/>
            </w:tcMar>
          </w:tcPr>
          <w:p>
            <w:pPr>
              <w:jc w:val="right"/>
            </w:pPr>
            <w:r>
              <w:rPr>
                <w:rFonts w:ascii="Liberation Sans" w:hAnsi="Liberation Sans"/>
                <w:b/>
                <w:color w:val="5E6A73"/>
                <w:sz w:val="18"/>
              </w:rPr>
              <w:t>3</w:t>
            </w:r>
          </w:p>
        </w:tc>
      </w:tr>
      <w:tr>
        <w:trPr>
          <w:cantSplit/>
        </w:trPr>
        <w:tc>
          <w:tcPr>
            <w:tcW w:type="dxa" w:w="5083"/>
            <w:tcMar>
              <w:top w:w="115" w:type="dxa"/>
              <w:start w:w="100" w:type="dxa"/>
              <w:bottom w:w="115" w:type="dxa"/>
              <w:end w:w="100" w:type="dxa"/>
            </w:tcMar>
          </w:tcPr>
          <w:p>
            <w:pPr>
              <w:keepNext w:val="0"/>
              <w:keepLines/>
              <w:widowControl/>
              <w:spacing w:before="0" w:after="0" w:line="252" w:lineRule="auto"/>
            </w:pPr>
            <w:hyperlink w:anchor="artifact1" w:history="1">
              <w:r>
                <w:rPr>
                  <w:rFonts w:ascii="Liberation Sans" w:hAnsi="Liberation Sans"/>
                  <w:color w:val="1E5A7A"/>
                  <w:u w:val="single"/>
                </w:rPr>
                <w:t>Artifact 1 — AI Workflow Evidence Map</w:t>
              </w:r>
            </w:hyperlink>
          </w:p>
        </w:tc>
        <w:tc>
          <w:tcPr>
            <w:tcW w:type="dxa" w:w="5083"/>
            <w:tcMar>
              <w:top w:w="115" w:type="dxa"/>
              <w:start w:w="100" w:type="dxa"/>
              <w:bottom w:w="115" w:type="dxa"/>
              <w:end w:w="100" w:type="dxa"/>
            </w:tcMar>
          </w:tcPr>
          <w:p>
            <w:pPr>
              <w:jc w:val="right"/>
            </w:pPr>
            <w:r>
              <w:rPr>
                <w:rFonts w:ascii="Liberation Sans" w:hAnsi="Liberation Sans"/>
                <w:b/>
                <w:color w:val="5E6A73"/>
                <w:sz w:val="18"/>
              </w:rPr>
              <w:t>4</w:t>
            </w:r>
          </w:p>
        </w:tc>
      </w:tr>
      <w:tr>
        <w:trPr>
          <w:cantSplit/>
        </w:trPr>
        <w:tc>
          <w:tcPr>
            <w:tcW w:type="dxa" w:w="5083"/>
            <w:tcMar>
              <w:top w:w="115" w:type="dxa"/>
              <w:start w:w="100" w:type="dxa"/>
              <w:bottom w:w="115" w:type="dxa"/>
              <w:end w:w="100" w:type="dxa"/>
            </w:tcMar>
          </w:tcPr>
          <w:p>
            <w:pPr>
              <w:keepNext w:val="0"/>
              <w:keepLines/>
              <w:widowControl/>
              <w:spacing w:before="0" w:after="0" w:line="252" w:lineRule="auto"/>
            </w:pPr>
            <w:hyperlink w:anchor="artifact2" w:history="1">
              <w:r>
                <w:rPr>
                  <w:rFonts w:ascii="Liberation Sans" w:hAnsi="Liberation Sans"/>
                  <w:color w:val="1E5A7A"/>
                  <w:u w:val="single"/>
                </w:rPr>
                <w:t>Artifact 2 — Six-Month Reconstruction Test</w:t>
              </w:r>
            </w:hyperlink>
          </w:p>
        </w:tc>
        <w:tc>
          <w:tcPr>
            <w:tcW w:type="dxa" w:w="5083"/>
            <w:tcMar>
              <w:top w:w="115" w:type="dxa"/>
              <w:start w:w="100" w:type="dxa"/>
              <w:bottom w:w="115" w:type="dxa"/>
              <w:end w:w="100" w:type="dxa"/>
            </w:tcMar>
          </w:tcPr>
          <w:p>
            <w:pPr>
              <w:jc w:val="right"/>
            </w:pPr>
            <w:r>
              <w:rPr>
                <w:rFonts w:ascii="Liberation Sans" w:hAnsi="Liberation Sans"/>
                <w:b/>
                <w:color w:val="5E6A73"/>
                <w:sz w:val="18"/>
              </w:rPr>
              <w:t>6</w:t>
            </w:r>
          </w:p>
        </w:tc>
      </w:tr>
      <w:tr>
        <w:trPr>
          <w:cantSplit/>
        </w:trPr>
        <w:tc>
          <w:tcPr>
            <w:tcW w:type="dxa" w:w="5083"/>
            <w:tcMar>
              <w:top w:w="115" w:type="dxa"/>
              <w:start w:w="100" w:type="dxa"/>
              <w:bottom w:w="115" w:type="dxa"/>
              <w:end w:w="100" w:type="dxa"/>
            </w:tcMar>
          </w:tcPr>
          <w:p>
            <w:pPr>
              <w:keepNext w:val="0"/>
              <w:keepLines/>
              <w:widowControl/>
              <w:spacing w:before="0" w:after="0" w:line="252" w:lineRule="auto"/>
            </w:pPr>
            <w:hyperlink w:anchor="artifact3" w:history="1">
              <w:r>
                <w:rPr>
                  <w:rFonts w:ascii="Liberation Sans" w:hAnsi="Liberation Sans"/>
                  <w:color w:val="1E5A7A"/>
                  <w:u w:val="single"/>
                </w:rPr>
                <w:t>Artifact 3 — Auditability Gap Register</w:t>
              </w:r>
            </w:hyperlink>
          </w:p>
        </w:tc>
        <w:tc>
          <w:tcPr>
            <w:tcW w:type="dxa" w:w="5083"/>
            <w:tcMar>
              <w:top w:w="115" w:type="dxa"/>
              <w:start w:w="100" w:type="dxa"/>
              <w:bottom w:w="115" w:type="dxa"/>
              <w:end w:w="100" w:type="dxa"/>
            </w:tcMar>
          </w:tcPr>
          <w:p>
            <w:pPr>
              <w:jc w:val="right"/>
            </w:pPr>
            <w:r>
              <w:rPr>
                <w:rFonts w:ascii="Liberation Sans" w:hAnsi="Liberation Sans"/>
                <w:b/>
                <w:color w:val="5E6A73"/>
                <w:sz w:val="18"/>
              </w:rPr>
              <w:t>9</w:t>
            </w:r>
          </w:p>
        </w:tc>
      </w:tr>
      <w:tr>
        <w:trPr>
          <w:cantSplit/>
        </w:trPr>
        <w:tc>
          <w:tcPr>
            <w:tcW w:type="dxa" w:w="5083"/>
            <w:tcMar>
              <w:top w:w="115" w:type="dxa"/>
              <w:start w:w="100" w:type="dxa"/>
              <w:bottom w:w="115" w:type="dxa"/>
              <w:end w:w="100" w:type="dxa"/>
            </w:tcMar>
          </w:tcPr>
          <w:p>
            <w:pPr>
              <w:keepNext w:val="0"/>
              <w:keepLines/>
              <w:widowControl/>
              <w:spacing w:before="0" w:after="0" w:line="252" w:lineRule="auto"/>
            </w:pPr>
            <w:hyperlink w:anchor="artifact4" w:history="1">
              <w:r>
                <w:rPr>
                  <w:rFonts w:ascii="Liberation Sans" w:hAnsi="Liberation Sans"/>
                  <w:color w:val="1E5A7A"/>
                  <w:u w:val="single"/>
                </w:rPr>
                <w:t>Artifact 4 — Audit Committee Briefing Memo</w:t>
              </w:r>
            </w:hyperlink>
          </w:p>
        </w:tc>
        <w:tc>
          <w:tcPr>
            <w:tcW w:type="dxa" w:w="5083"/>
            <w:tcMar>
              <w:top w:w="115" w:type="dxa"/>
              <w:start w:w="100" w:type="dxa"/>
              <w:bottom w:w="115" w:type="dxa"/>
              <w:end w:w="100" w:type="dxa"/>
            </w:tcMar>
          </w:tcPr>
          <w:p>
            <w:pPr>
              <w:jc w:val="right"/>
            </w:pPr>
            <w:r>
              <w:rPr>
                <w:rFonts w:ascii="Liberation Sans" w:hAnsi="Liberation Sans"/>
                <w:b/>
                <w:color w:val="5E6A73"/>
                <w:sz w:val="18"/>
              </w:rPr>
              <w:t>13</w:t>
            </w:r>
          </w:p>
        </w:tc>
      </w:tr>
      <w:tr>
        <w:trPr>
          <w:cantSplit/>
        </w:trPr>
        <w:tc>
          <w:tcPr>
            <w:tcW w:type="dxa" w:w="5083"/>
            <w:tcMar>
              <w:top w:w="115" w:type="dxa"/>
              <w:start w:w="100" w:type="dxa"/>
              <w:bottom w:w="115" w:type="dxa"/>
              <w:end w:w="100" w:type="dxa"/>
            </w:tcMar>
          </w:tcPr>
          <w:p>
            <w:pPr>
              <w:keepNext w:val="0"/>
              <w:keepLines/>
              <w:widowControl/>
              <w:spacing w:before="0" w:after="0" w:line="252" w:lineRule="auto"/>
            </w:pPr>
            <w:hyperlink w:anchor="artifact5" w:history="1">
              <w:r>
                <w:rPr>
                  <w:rFonts w:ascii="Liberation Sans" w:hAnsi="Liberation Sans"/>
                  <w:color w:val="1E5A7A"/>
                  <w:u w:val="single"/>
                </w:rPr>
                <w:t>Artifact 5 — 30/60/90-Day Remediation Backlog</w:t>
              </w:r>
            </w:hyperlink>
          </w:p>
        </w:tc>
        <w:tc>
          <w:tcPr>
            <w:tcW w:type="dxa" w:w="5083"/>
            <w:tcMar>
              <w:top w:w="115" w:type="dxa"/>
              <w:start w:w="100" w:type="dxa"/>
              <w:bottom w:w="115" w:type="dxa"/>
              <w:end w:w="100" w:type="dxa"/>
            </w:tcMar>
          </w:tcPr>
          <w:p>
            <w:pPr>
              <w:jc w:val="right"/>
            </w:pPr>
            <w:r>
              <w:rPr>
                <w:rFonts w:ascii="Liberation Sans" w:hAnsi="Liberation Sans"/>
                <w:b/>
                <w:color w:val="5E6A73"/>
                <w:sz w:val="18"/>
              </w:rPr>
              <w:t>15</w:t>
            </w:r>
          </w:p>
        </w:tc>
      </w:tr>
      <w:tr>
        <w:trPr>
          <w:cantSplit/>
        </w:trPr>
        <w:tc>
          <w:tcPr>
            <w:tcW w:type="dxa" w:w="5083"/>
            <w:tcMar>
              <w:top w:w="115" w:type="dxa"/>
              <w:start w:w="100" w:type="dxa"/>
              <w:bottom w:w="115" w:type="dxa"/>
              <w:end w:w="100" w:type="dxa"/>
            </w:tcMar>
          </w:tcPr>
          <w:p>
            <w:pPr>
              <w:keepNext w:val="0"/>
              <w:keepLines/>
              <w:widowControl/>
              <w:spacing w:before="0" w:after="0" w:line="252" w:lineRule="auto"/>
            </w:pPr>
            <w:hyperlink w:anchor="sources" w:history="1">
              <w:r>
                <w:rPr>
                  <w:rFonts w:ascii="Liberation Sans" w:hAnsi="Liberation Sans"/>
                  <w:color w:val="1E5A7A"/>
                  <w:u w:val="single"/>
                </w:rPr>
                <w:t>Sources</w:t>
              </w:r>
            </w:hyperlink>
          </w:p>
        </w:tc>
        <w:tc>
          <w:tcPr>
            <w:tcW w:type="dxa" w:w="5083"/>
            <w:tcMar>
              <w:top w:w="115" w:type="dxa"/>
              <w:start w:w="100" w:type="dxa"/>
              <w:bottom w:w="115" w:type="dxa"/>
              <w:end w:w="100" w:type="dxa"/>
            </w:tcMar>
          </w:tcPr>
          <w:p>
            <w:pPr>
              <w:jc w:val="right"/>
            </w:pPr>
            <w:r>
              <w:rPr>
                <w:rFonts w:ascii="Liberation Sans" w:hAnsi="Liberation Sans"/>
                <w:b/>
                <w:color w:val="5E6A73"/>
                <w:sz w:val="18"/>
              </w:rPr>
              <w:t>20</w:t>
            </w:r>
          </w:p>
        </w:tc>
      </w:tr>
      <w:tr>
        <w:trPr>
          <w:cantSplit/>
        </w:trPr>
        <w:tc>
          <w:tcPr>
            <w:tcW w:type="dxa" w:w="5083"/>
            <w:tcMar>
              <w:top w:w="115" w:type="dxa"/>
              <w:start w:w="100" w:type="dxa"/>
              <w:bottom w:w="115" w:type="dxa"/>
              <w:end w:w="100" w:type="dxa"/>
            </w:tcMar>
          </w:tcPr>
          <w:p>
            <w:pPr>
              <w:keepNext w:val="0"/>
              <w:keepLines/>
              <w:widowControl/>
              <w:spacing w:before="0" w:after="0" w:line="252" w:lineRule="auto"/>
            </w:pPr>
            <w:hyperlink w:anchor="appendixA" w:history="1">
              <w:r>
                <w:rPr>
                  <w:rFonts w:ascii="Liberation Sans" w:hAnsi="Liberation Sans"/>
                  <w:color w:val="1E5A7A"/>
                  <w:u w:val="single"/>
                </w:rPr>
                <w:t>Appendix A — Detailed workflow-stage evidence map</w:t>
              </w:r>
            </w:hyperlink>
          </w:p>
        </w:tc>
        <w:tc>
          <w:tcPr>
            <w:tcW w:type="dxa" w:w="5083"/>
            <w:tcMar>
              <w:top w:w="115" w:type="dxa"/>
              <w:start w:w="100" w:type="dxa"/>
              <w:bottom w:w="115" w:type="dxa"/>
              <w:end w:w="100" w:type="dxa"/>
            </w:tcMar>
          </w:tcPr>
          <w:p>
            <w:pPr>
              <w:jc w:val="right"/>
            </w:pPr>
            <w:r>
              <w:rPr>
                <w:rFonts w:ascii="Liberation Sans" w:hAnsi="Liberation Sans"/>
                <w:b/>
                <w:color w:val="5E6A73"/>
                <w:sz w:val="18"/>
              </w:rPr>
              <w:t>21</w:t>
            </w:r>
          </w:p>
        </w:tc>
      </w:tr>
      <w:tr>
        <w:trPr>
          <w:cantSplit/>
        </w:trPr>
        <w:tc>
          <w:tcPr>
            <w:tcW w:type="dxa" w:w="5083"/>
            <w:tcMar>
              <w:top w:w="115" w:type="dxa"/>
              <w:start w:w="100" w:type="dxa"/>
              <w:bottom w:w="115" w:type="dxa"/>
              <w:end w:w="100" w:type="dxa"/>
            </w:tcMar>
          </w:tcPr>
          <w:p>
            <w:pPr>
              <w:keepNext w:val="0"/>
              <w:keepLines/>
              <w:widowControl/>
              <w:spacing w:before="0" w:after="0" w:line="252" w:lineRule="auto"/>
            </w:pPr>
            <w:hyperlink w:anchor="appendixB" w:history="1">
              <w:r>
                <w:rPr>
                  <w:rFonts w:ascii="Liberation Sans" w:hAnsi="Liberation Sans"/>
                  <w:color w:val="1E5A7A"/>
                  <w:u w:val="single"/>
                </w:rPr>
                <w:t>Appendix B — Synthetic record and configuration detail</w:t>
              </w:r>
            </w:hyperlink>
          </w:p>
        </w:tc>
        <w:tc>
          <w:tcPr>
            <w:tcW w:type="dxa" w:w="5083"/>
            <w:tcMar>
              <w:top w:w="115" w:type="dxa"/>
              <w:start w:w="100" w:type="dxa"/>
              <w:bottom w:w="115" w:type="dxa"/>
              <w:end w:w="100" w:type="dxa"/>
            </w:tcMar>
          </w:tcPr>
          <w:p>
            <w:pPr>
              <w:jc w:val="right"/>
            </w:pPr>
            <w:r>
              <w:rPr>
                <w:rFonts w:ascii="Liberation Sans" w:hAnsi="Liberation Sans"/>
                <w:b/>
                <w:color w:val="5E6A73"/>
                <w:sz w:val="18"/>
              </w:rPr>
              <w:t>25</w:t>
            </w:r>
          </w:p>
        </w:tc>
      </w:tr>
      <w:tr>
        <w:trPr>
          <w:cantSplit/>
        </w:trPr>
        <w:tc>
          <w:tcPr>
            <w:tcW w:type="dxa" w:w="5083"/>
            <w:tcMar>
              <w:top w:w="115" w:type="dxa"/>
              <w:start w:w="100" w:type="dxa"/>
              <w:bottom w:w="115" w:type="dxa"/>
              <w:end w:w="100" w:type="dxa"/>
            </w:tcMar>
          </w:tcPr>
          <w:p>
            <w:pPr>
              <w:keepNext w:val="0"/>
              <w:keepLines/>
              <w:widowControl/>
              <w:spacing w:before="0" w:after="0" w:line="252" w:lineRule="auto"/>
            </w:pPr>
            <w:hyperlink w:anchor="appendixC" w:history="1">
              <w:r>
                <w:rPr>
                  <w:rFonts w:ascii="Liberation Sans" w:hAnsi="Liberation Sans"/>
                  <w:color w:val="1E5A7A"/>
                  <w:u w:val="single"/>
                </w:rPr>
                <w:t>Appendix C — Assumptions, limitations, and traceability</w:t>
              </w:r>
            </w:hyperlink>
          </w:p>
        </w:tc>
        <w:tc>
          <w:tcPr>
            <w:tcW w:type="dxa" w:w="5083"/>
            <w:tcMar>
              <w:top w:w="115" w:type="dxa"/>
              <w:start w:w="100" w:type="dxa"/>
              <w:bottom w:w="115" w:type="dxa"/>
              <w:end w:w="100" w:type="dxa"/>
            </w:tcMar>
          </w:tcPr>
          <w:p>
            <w:pPr>
              <w:jc w:val="right"/>
            </w:pPr>
            <w:r>
              <w:rPr>
                <w:rFonts w:ascii="Liberation Sans" w:hAnsi="Liberation Sans"/>
                <w:b/>
                <w:color w:val="5E6A73"/>
                <w:sz w:val="18"/>
              </w:rPr>
              <w:t>27</w:t>
            </w:r>
          </w:p>
        </w:tc>
      </w:tr>
    </w:tbl>
    <w:p>
      <w:pPr>
        <w:keepNext w:val="0"/>
        <w:keepLines w:val="0"/>
        <w:widowControl/>
        <w:spacing w:before="0" w:after="80" w:line="252" w:lineRule="auto"/>
      </w:pPr>
      <w:r>
        <w:rPr>
          <w:rFonts w:ascii="Liberation Sans" w:hAnsi="Liberation Sans"/>
          <w:b/>
          <w:i w:val="0"/>
          <w:color w:val="17324D"/>
          <w:sz w:val="18"/>
        </w:rPr>
        <w:t>Document navigation</w:t>
      </w:r>
    </w:p>
    <w:p>
      <w:pPr>
        <w:keepNext w:val="0"/>
        <w:keepLines w:val="0"/>
        <w:widowControl/>
        <w:spacing w:before="0" w:after="60" w:line="252" w:lineRule="auto"/>
      </w:pPr>
      <w:hyperlink w:anchor="sources" w:history="1">
        <w:r>
          <w:rPr>
            <w:rFonts w:ascii="Liberation Sans" w:hAnsi="Liberation Sans"/>
            <w:color w:val="1E5A7A"/>
            <w:u w:val="single"/>
          </w:rPr>
          <w:t>Jump to Sources</w:t>
        </w:r>
      </w:hyperlink>
      <w:r>
        <w:t xml:space="preserve">  •  </w:t>
      </w:r>
      <w:hyperlink w:anchor="sources" w:history="1">
        <w:r>
          <w:rPr>
            <w:rFonts w:ascii="Liberation Sans" w:hAnsi="Liberation Sans"/>
            <w:color w:val="1E5A7A"/>
            <w:u w:val="single"/>
          </w:rPr>
          <w:t>Jump to final CTAs</w:t>
        </w:r>
      </w:hyperlink>
    </w:p>
    <w:tbl>
      <w:tblPr>
        <w:tblW w:type="auto" w:w="0"/>
        <w:jc w:val="center"/>
        <w:tblLayout w:type="fixed"/>
        <w:tblLook w:firstColumn="1" w:firstRow="1" w:lastColumn="0" w:lastRow="0" w:noHBand="0" w:noVBand="1" w:val="04A0"/>
      </w:tblPr>
      <w:tblGrid>
        <w:gridCol w:w="10166"/>
      </w:tblGrid>
      <w:tr>
        <w:tc>
          <w:tcPr>
            <w:tcW w:type="dxa" w:w="10008"/>
            <w:shd w:fill="F4F7F9"/>
            <w:tcMar>
              <w:top w:w="120" w:type="dxa"/>
              <w:start w:w="150" w:type="dxa"/>
              <w:bottom w:w="120" w:type="dxa"/>
              <w:end w:w="150" w:type="dxa"/>
            </w:tcMar>
            <w:vAlign w:val="center"/>
            <w:tcBorders>
              <w:top w:val="single" w:sz="8" w:color="D5DEE5"/>
              <w:left w:val="single" w:sz="8" w:color="D5DEE5"/>
              <w:bottom w:val="single" w:sz="8" w:color="D5DEE5"/>
              <w:right w:val="single" w:sz="8" w:color="D5DEE5"/>
            </w:tcBorders>
          </w:tcPr>
          <w:p>
            <w:pPr>
              <w:keepNext/>
              <w:keepLines/>
              <w:widowControl/>
              <w:spacing w:before="0" w:after="60" w:line="252" w:lineRule="auto"/>
            </w:pPr>
            <w:r>
              <w:rPr>
                <w:rFonts w:ascii="Liberation Sans" w:hAnsi="Liberation Sans"/>
                <w:b/>
                <w:color w:val="17324D"/>
                <w:sz w:val="20"/>
              </w:rPr>
              <w:t>How to read the identifiers</w:t>
            </w:r>
          </w:p>
          <w:p>
            <w:pPr>
              <w:keepNext w:val="0"/>
              <w:keepLines/>
              <w:widowControl/>
              <w:spacing w:before="0" w:after="0" w:line="252" w:lineRule="auto"/>
            </w:pPr>
            <w:r>
              <w:rPr>
                <w:rFonts w:ascii="Liberation Sans" w:hAnsi="Liberation Sans"/>
                <w:color w:val="25313B"/>
                <w:sz w:val="18"/>
              </w:rPr>
              <w:t>EV- identifies an evidence element. GAP- identifies an observed auditability gap. REM- identifies a remediation item. SYN- and SCM- identify synthetic systems, records, and events.</w:t>
            </w:r>
          </w:p>
        </w:tc>
      </w:tr>
    </w:tbl>
    <w:p>
      <w:pPr>
        <w:widowControl/>
      </w:pPr>
      <w:r>
        <w:br w:type="page"/>
      </w:r>
    </w:p>
    <w:p>
      <w:bookmarkStart w:id="2" w:name="executive"/>
      <w:pPr>
        <w:pStyle w:val="Heading1"/>
        <w:keepNext/>
        <w:keepLines/>
        <w:widowControl/>
      </w:pPr>
      <w:r>
        <w:rPr>
          <w:rFonts w:ascii="Liberation Sans" w:hAnsi="Liberation Sans"/>
          <w:b/>
          <w:color w:val="17324D"/>
          <w:sz w:val="36"/>
        </w:rPr>
        <w:t>Executive summary and scope</w:t>
      </w:r>
      <w:bookmarkEnd w:id="2"/>
    </w:p>
    <w:tbl>
      <w:tblPr>
        <w:tblW w:type="auto" w:w="0"/>
        <w:jc w:val="center"/>
        <w:tblLayout w:type="fixed"/>
        <w:tblLook w:firstColumn="1" w:firstRow="1" w:lastColumn="0" w:lastRow="0" w:noHBand="0" w:noVBand="1" w:val="04A0"/>
      </w:tblPr>
      <w:tblGrid>
        <w:gridCol w:w="10166"/>
      </w:tblGrid>
      <w:tr>
        <w:tc>
          <w:tcPr>
            <w:tcW w:type="dxa" w:w="10008"/>
            <w:shd w:fill="DCEFED"/>
            <w:tcMar>
              <w:top w:w="120" w:type="dxa"/>
              <w:start w:w="150" w:type="dxa"/>
              <w:bottom w:w="120" w:type="dxa"/>
              <w:end w:w="150" w:type="dxa"/>
            </w:tcMar>
            <w:vAlign w:val="center"/>
            <w:tcBorders>
              <w:top w:val="single" w:sz="8" w:color="287D7A"/>
              <w:left w:val="single" w:sz="8" w:color="287D7A"/>
              <w:bottom w:val="single" w:sz="8" w:color="287D7A"/>
              <w:right w:val="single" w:sz="8" w:color="287D7A"/>
            </w:tcBorders>
          </w:tcPr>
          <w:p>
            <w:pPr>
              <w:keepNext/>
              <w:keepLines/>
              <w:widowControl/>
              <w:spacing w:before="0" w:after="60" w:line="252" w:lineRule="auto"/>
            </w:pPr>
            <w:r>
              <w:rPr>
                <w:rFonts w:ascii="Liberation Sans" w:hAnsi="Liberation Sans"/>
                <w:b/>
                <w:color w:val="17324D"/>
                <w:sz w:val="20"/>
              </w:rPr>
              <w:t>Synthetic-data notice</w:t>
            </w:r>
          </w:p>
          <w:p>
            <w:pPr>
              <w:keepNext w:val="0"/>
              <w:keepLines/>
              <w:widowControl/>
              <w:spacing w:before="0" w:after="0" w:line="252" w:lineRule="auto"/>
            </w:pPr>
            <w:r>
              <w:rPr>
                <w:rFonts w:ascii="Liberation Sans" w:hAnsi="Liberation Sans"/>
                <w:color w:val="25313B"/>
                <w:sz w:val="18"/>
              </w:rPr>
              <w:t>Everything concerning the bank, borrower, transaction, systems, records, actors, amounts, ratios, policies, timestamps, model, prompts, outputs, approvals, findings, and remediation actions is fictional and synthetic. The sample includes no real people, institutions, addresses, account numbers, customer data, personal-guarantor information, or protected-class information. The provider identity is intentionally omitted from the public sample; a synthetic internal vendor code is retained.</w:t>
            </w:r>
          </w:p>
        </w:tc>
      </w:tr>
    </w:tbl>
    <w:p>
      <w:pPr>
        <w:pStyle w:val="Heading2"/>
        <w:keepNext/>
        <w:keepLines/>
        <w:widowControl/>
      </w:pPr>
      <w:r>
        <w:rPr>
          <w:rFonts w:ascii="Liberation Sans" w:hAnsi="Liberation Sans"/>
          <w:b/>
          <w:color w:val="17324D"/>
          <w:sz w:val="26"/>
        </w:rPr>
        <w:t>Purpose</w:t>
      </w:r>
    </w:p>
    <w:p>
      <w:pPr>
        <w:keepNext w:val="0"/>
        <w:keepLines w:val="0"/>
        <w:widowControl/>
        <w:spacing w:before="0" w:after="100" w:line="252" w:lineRule="auto"/>
      </w:pPr>
      <w:r>
        <w:rPr>
          <w:rFonts w:ascii="Liberation Sans" w:hAnsi="Liberation Sans"/>
          <w:b w:val="0"/>
          <w:i w:val="0"/>
          <w:color w:val="25313B"/>
          <w:sz w:val="18"/>
        </w:rPr>
        <w:t>This packet demonstrates the five substantive outputs of an Audit Grill-Me Sprint for one AI-assisted workflow. It shows how a consequential workflow is mapped, reconstructed from retained evidence, evaluated across eight evidence elements, summarized for senior oversight, and translated into a 30/60/90-day remediation sequence.</w:t>
      </w:r>
    </w:p>
    <w:p>
      <w:pPr>
        <w:pStyle w:val="Heading2"/>
        <w:keepNext/>
        <w:keepLines/>
        <w:widowControl/>
      </w:pPr>
      <w:r>
        <w:rPr>
          <w:rFonts w:ascii="Liberation Sans" w:hAnsi="Liberation Sans"/>
          <w:b/>
          <w:color w:val="17324D"/>
          <w:sz w:val="26"/>
        </w:rPr>
        <w:t>Method and illustrative result</w:t>
      </w:r>
    </w:p>
    <w:p>
      <w:pPr>
        <w:keepNext w:val="0"/>
        <w:keepLines w:val="0"/>
        <w:widowControl/>
        <w:spacing w:before="0" w:after="80" w:line="252" w:lineRule="auto"/>
      </w:pPr>
      <w:r>
        <w:t>The Six-Month Reconstruction Test v1.0 evaluates eight evidence elements: model version; prompt or system instruction; input data; retrieved sources; original output; human reviewer; approval or override record; and retained evidence.</w:t>
      </w:r>
      <w:r>
        <w:t xml:space="preserve"> </w:t>
      </w:r>
      <w:hyperlink w:anchor="source1" w:history="1">
        <w:r>
          <w:rPr>
            <w:rStyle w:val="Hyperlink"/>
          </w:rPr>
          <w:t>[1]</w:t>
        </w:r>
      </w:hyperlink>
    </w:p>
    <w:p>
      <w:pPr>
        <w:keepNext w:val="0"/>
        <w:keepLines w:val="0"/>
        <w:widowControl/>
        <w:spacing w:before="0" w:after="100" w:line="252" w:lineRule="auto"/>
      </w:pPr>
      <w:r>
        <w:t>Only fully Present elements count toward the public evidence-readiness bands: 0–3 High reconstruction risk, 4–6 Partial auditability, and 7–8 Stronger evidence posture.</w:t>
      </w:r>
      <w:r>
        <w:t xml:space="preserve"> </w:t>
      </w:r>
      <w:hyperlink w:anchor="source2" w:history="1">
        <w:r>
          <w:rPr>
            <w:rStyle w:val="Hyperlink"/>
          </w:rPr>
          <w:t>[2]</w:t>
        </w:r>
      </w:hyperlink>
    </w:p>
    <w:tbl>
      <w:tblPr>
        <w:tblStyle w:val="TableGrid"/>
        <w:tblW w:type="auto" w:w="0"/>
        <w:jc w:val="center"/>
        <w:tblLayout w:type="fixed"/>
        <w:tblLook w:firstColumn="1" w:firstRow="1" w:lastColumn="0" w:lastRow="0" w:noHBand="0" w:noVBand="1" w:val="04A0"/>
      </w:tblPr>
      <w:tblGrid>
        <w:gridCol w:w="2033"/>
        <w:gridCol w:w="2033"/>
        <w:gridCol w:w="2033"/>
        <w:gridCol w:w="2033"/>
        <w:gridCol w:w="2033"/>
      </w:tblGrid>
      <w:tr>
        <w:trPr>
          <w:tblHeader w:val="true"/>
          <w:cantSplit/>
        </w:trPr>
        <w:tc>
          <w:tcPr>
            <w:tcW w:type="dxa" w:w="1584"/>
            <w:shd w:fill="287D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8"/>
              </w:rPr>
              <w:t>Fully Present</w:t>
            </w:r>
          </w:p>
        </w:tc>
        <w:tc>
          <w:tcPr>
            <w:tcW w:type="dxa" w:w="1440"/>
            <w:shd w:fill="287D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8"/>
              </w:rPr>
              <w:t>Partial</w:t>
            </w:r>
          </w:p>
        </w:tc>
        <w:tc>
          <w:tcPr>
            <w:tcW w:type="dxa" w:w="1440"/>
            <w:shd w:fill="287D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8"/>
              </w:rPr>
              <w:t>Missing</w:t>
            </w:r>
          </w:p>
        </w:tc>
        <w:tc>
          <w:tcPr>
            <w:tcW w:type="dxa" w:w="3024"/>
            <w:shd w:fill="287D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8"/>
              </w:rPr>
              <w:t>Public band</w:t>
            </w:r>
          </w:p>
        </w:tc>
        <w:tc>
          <w:tcPr>
            <w:tcW w:type="dxa" w:w="1944"/>
            <w:shd w:fill="287D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8"/>
              </w:rPr>
              <w:t>Confidence</w:t>
            </w:r>
          </w:p>
        </w:tc>
      </w:tr>
      <w:tr>
        <w:trPr>
          <w:cantSplit/>
        </w:trPr>
        <w:tc>
          <w:tcPr>
            <w:tcW w:type="dxa" w:w="1584"/>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8"/>
              </w:rPr>
              <w:t>5</w:t>
            </w:r>
          </w:p>
        </w:tc>
        <w:tc>
          <w:tcPr>
            <w:tcW w:type="dxa" w:w="144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8"/>
              </w:rPr>
              <w:t>2</w:t>
            </w:r>
          </w:p>
        </w:tc>
        <w:tc>
          <w:tcPr>
            <w:tcW w:type="dxa" w:w="144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8"/>
              </w:rPr>
              <w:t>1</w:t>
            </w:r>
          </w:p>
        </w:tc>
        <w:tc>
          <w:tcPr>
            <w:tcW w:type="dxa" w:w="3024"/>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8"/>
              </w:rPr>
              <w:t>Partial auditability</w:t>
            </w:r>
          </w:p>
        </w:tc>
        <w:tc>
          <w:tcPr>
            <w:tcW w:type="dxa" w:w="1944"/>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8"/>
              </w:rPr>
              <w:t>Moderate</w:t>
            </w:r>
          </w:p>
        </w:tc>
      </w:tr>
    </w:tbl>
    <w:p>
      <w:pPr>
        <w:widowControl/>
        <w:spacing w:after="20"/>
      </w:pPr>
    </w:p>
    <w:p>
      <w:pPr>
        <w:keepNext w:val="0"/>
        <w:keepLines w:val="0"/>
        <w:widowControl/>
        <w:spacing w:before="0" w:after="140" w:line="252" w:lineRule="auto"/>
      </w:pPr>
      <w:r>
        <w:rPr>
          <w:rFonts w:ascii="Liberation Sans" w:hAnsi="Liberation Sans"/>
          <w:b/>
          <w:i w:val="0"/>
          <w:color w:val="9A3B3B"/>
          <w:sz w:val="18"/>
        </w:rPr>
        <w:t>The result is an illustrative evidence-readiness result. It is not an audit rating, risk score, legal opinion, compliance conclusion, certification, or assurance opinion.</w:t>
      </w:r>
    </w:p>
    <w:p>
      <w:pPr>
        <w:pStyle w:val="Heading2"/>
        <w:keepNext/>
        <w:keepLines/>
        <w:widowControl/>
      </w:pPr>
      <w:r>
        <w:rPr>
          <w:rFonts w:ascii="Liberation Sans" w:hAnsi="Liberation Sans"/>
          <w:b/>
          <w:color w:val="17324D"/>
          <w:sz w:val="26"/>
        </w:rPr>
        <w:t>Engagement context</w:t>
      </w:r>
    </w:p>
    <w:p>
      <w:pPr>
        <w:keepNext w:val="0"/>
        <w:keepLines w:val="0"/>
        <w:widowControl/>
        <w:spacing w:before="0" w:after="80" w:line="252" w:lineRule="auto"/>
      </w:pPr>
      <w:r>
        <w:t>The public Audit Grill-Me Sprint is a $9,500 fixed-price, ten-business-day engagement covering one AI workflow and five deliverables. No sensitive production data is required for the initial sprint. The first sprint is designed to avoid sensitive production-data access wherever possible.</w:t>
      </w:r>
      <w:r>
        <w:t xml:space="preserve"> </w:t>
      </w:r>
      <w:hyperlink w:anchor="source3" w:history="1">
        <w:r>
          <w:rPr>
            <w:rStyle w:val="Hyperlink"/>
          </w:rPr>
          <w:t>[3]</w:t>
        </w:r>
      </w:hyperlink>
    </w:p>
    <w:p>
      <w:pPr>
        <w:keepNext w:val="0"/>
        <w:keepLines w:val="0"/>
        <w:widowControl/>
        <w:spacing w:before="0" w:after="100" w:line="252" w:lineRule="auto"/>
      </w:pPr>
      <w:r>
        <w:rPr>
          <w:rFonts w:ascii="Liberation Sans" w:hAnsi="Liberation Sans"/>
          <w:b w:val="0"/>
          <w:i w:val="0"/>
          <w:color w:val="25313B"/>
          <w:sz w:val="18"/>
        </w:rPr>
        <w:t>The five deliverables represented here are: AI Workflow Evidence Map; Six-Month Reconstruction Test; Auditability Gap Register; Audit Committee Briefing Memo; and 30/60/90-Day Remediation Backlog.</w:t>
      </w:r>
    </w:p>
    <w:p>
      <w:pPr>
        <w:pStyle w:val="Heading2"/>
        <w:keepNext/>
        <w:keepLines/>
        <w:widowControl/>
      </w:pPr>
      <w:r>
        <w:rPr>
          <w:rFonts w:ascii="Liberation Sans" w:hAnsi="Liberation Sans"/>
          <w:b/>
          <w:color w:val="17324D"/>
          <w:sz w:val="26"/>
        </w:rPr>
        <w:t>Professional boundary</w:t>
      </w:r>
    </w:p>
    <w:tbl>
      <w:tblPr>
        <w:tblW w:type="auto" w:w="0"/>
        <w:jc w:val="center"/>
        <w:tblLayout w:type="fixed"/>
        <w:tblLook w:firstColumn="1" w:firstRow="1" w:lastColumn="0" w:lastRow="0" w:noHBand="0" w:noVBand="1" w:val="04A0"/>
      </w:tblPr>
      <w:tblGrid>
        <w:gridCol w:w="10166"/>
      </w:tblGrid>
      <w:tr>
        <w:tc>
          <w:tcPr>
            <w:tcW w:type="dxa" w:w="10008"/>
            <w:shd w:fill="F4F7F9"/>
            <w:tcMar>
              <w:top w:w="120" w:type="dxa"/>
              <w:start w:w="150" w:type="dxa"/>
              <w:bottom w:w="120" w:type="dxa"/>
              <w:end w:w="150" w:type="dxa"/>
            </w:tcMar>
            <w:vAlign w:val="center"/>
            <w:tcBorders>
              <w:top w:val="single" w:sz="8" w:color="17324D"/>
              <w:left w:val="single" w:sz="8" w:color="17324D"/>
              <w:bottom w:val="single" w:sz="8" w:color="17324D"/>
              <w:right w:val="single" w:sz="8" w:color="17324D"/>
            </w:tcBorders>
          </w:tcPr>
          <w:p>
            <w:pPr>
              <w:keepNext/>
              <w:keepLines/>
              <w:widowControl/>
              <w:spacing w:before="0" w:after="60" w:line="252" w:lineRule="auto"/>
            </w:pPr>
            <w:r>
              <w:rPr>
                <w:rFonts w:ascii="Liberation Sans" w:hAnsi="Liberation Sans"/>
                <w:b/>
                <w:color w:val="17324D"/>
                <w:sz w:val="20"/>
              </w:rPr>
              <w:t>Professional boundary</w:t>
            </w:r>
          </w:p>
          <w:p>
            <w:pPr>
              <w:keepNext w:val="0"/>
              <w:keepLines/>
              <w:widowControl/>
              <w:spacing w:before="0" w:after="0" w:line="252" w:lineRule="auto"/>
            </w:pPr>
            <w:r>
              <w:rPr>
                <w:rFonts w:ascii="Liberation Sans" w:hAnsi="Liberation Sans"/>
                <w:color w:val="25313B"/>
                <w:sz w:val="18"/>
              </w:rPr>
              <w:t>Invariant Engineering provides technical AI auditability engineering, evidence-readiness assessments, and remediation support. We do not provide legal advice, issue independent audit opinions, certify compliance, or act as the client’s external auditor.</w:t>
            </w:r>
          </w:p>
        </w:tc>
      </w:tr>
    </w:tbl>
    <w:p>
      <w:pPr>
        <w:pStyle w:val="Heading2"/>
        <w:keepNext/>
        <w:keepLines/>
        <w:widowControl/>
      </w:pPr>
      <w:r>
        <w:rPr>
          <w:rFonts w:ascii="Liberation Sans" w:hAnsi="Liberation Sans"/>
          <w:b/>
          <w:color w:val="17324D"/>
          <w:sz w:val="26"/>
        </w:rPr>
        <w:t>Workflow boundary</w:t>
      </w:r>
    </w:p>
    <w:p>
      <w:pPr>
        <w:keepNext w:val="0"/>
        <w:keepLines w:val="0"/>
        <w:widowControl/>
        <w:spacing w:before="0" w:after="100" w:line="252" w:lineRule="auto"/>
      </w:pPr>
      <w:r>
        <w:rPr>
          <w:rFonts w:ascii="Liberation Sans" w:hAnsi="Liberation Sans"/>
          <w:b w:val="0"/>
          <w:i w:val="0"/>
          <w:color w:val="25313B"/>
          <w:sz w:val="18"/>
        </w:rPr>
        <w:t>The assessed workflow is AI-assisted commercial credit memorandum drafting and policy-exception support. The AI may assemble supplied financial-analysis inputs, retrieve identified policy sections, draft specified memorandum language, and identify possible policy exceptions for analyst disposition.</w:t>
      </w:r>
    </w:p>
    <w:p>
      <w:pPr>
        <w:keepNext w:val="0"/>
        <w:keepLines w:val="0"/>
        <w:widowControl/>
        <w:spacing w:before="0" w:after="100" w:line="252" w:lineRule="auto"/>
      </w:pPr>
      <w:r>
        <w:rPr>
          <w:rFonts w:ascii="Liberation Sans" w:hAnsi="Liberation Sans"/>
          <w:b/>
          <w:i w:val="0"/>
          <w:color w:val="25313B"/>
          <w:sz w:val="18"/>
        </w:rPr>
        <w:t>The AI must not approve or deny credit; set pricing, terms, or risk ratings; accept or reject a policy exception; produce an adverse-action reason; communicate a credit decision; initiate loan booking; or replace analyst or credit-officer judgment.</w:t>
      </w:r>
    </w:p>
    <w:p>
      <w:pPr>
        <w:pStyle w:val="Heading2"/>
        <w:keepNext/>
        <w:keepLines/>
        <w:widowControl/>
      </w:pPr>
      <w:r>
        <w:rPr>
          <w:rFonts w:ascii="Liberation Sans" w:hAnsi="Liberation Sans"/>
          <w:b/>
          <w:color w:val="17324D"/>
          <w:sz w:val="26"/>
        </w:rPr>
        <w:t>Regulatory and risk-management context</w:t>
      </w:r>
    </w:p>
    <w:p>
      <w:pPr>
        <w:keepNext w:val="0"/>
        <w:keepLines w:val="0"/>
        <w:widowControl/>
        <w:spacing w:before="0" w:after="80" w:line="252" w:lineRule="auto"/>
      </w:pPr>
      <w:r>
        <w:t>Regulation B is cited only to explain why a commercial-credit workflow may be audit-sensitive. This packet makes no determination about applicability, triggered duties, or compliance. CFPB Circular 2022-03 is not used as current guidance because the CFPB lists it as withdrawn on May 12, 2025.</w:t>
      </w:r>
      <w:r>
        <w:t xml:space="preserve"> </w:t>
      </w:r>
      <w:hyperlink w:anchor="source4" w:history="1">
        <w:r>
          <w:rPr>
            <w:rStyle w:val="Hyperlink"/>
          </w:rPr>
          <w:t>[4]</w:t>
        </w:r>
      </w:hyperlink>
      <w:r>
        <w:t xml:space="preserve"> </w:t>
      </w:r>
      <w:hyperlink w:anchor="source5" w:history="1">
        <w:r>
          <w:rPr>
            <w:rStyle w:val="Hyperlink"/>
          </w:rPr>
          <w:t>[5]</w:t>
        </w:r>
      </w:hyperlink>
    </w:p>
    <w:p>
      <w:pPr>
        <w:keepNext w:val="0"/>
        <w:keepLines w:val="0"/>
        <w:widowControl/>
        <w:spacing w:before="0" w:after="80" w:line="252" w:lineRule="auto"/>
      </w:pPr>
      <w:r>
        <w:t>Federal Reserve SR 26-2 supersedes SR 11-7. The sample uses selected governance concepts only as context and makes no conclusion about applicability. NIST AI RMF 1.0 and NIST AI 600-1 are voluntary risk-management context, not compliance criteria or scoring inputs.</w:t>
      </w:r>
      <w:r>
        <w:t xml:space="preserve"> </w:t>
      </w:r>
      <w:hyperlink w:anchor="source6" w:history="1">
        <w:r>
          <w:rPr>
            <w:rStyle w:val="Hyperlink"/>
          </w:rPr>
          <w:t>[6]</w:t>
        </w:r>
      </w:hyperlink>
      <w:r>
        <w:t xml:space="preserve"> </w:t>
      </w:r>
      <w:hyperlink w:anchor="source7" w:history="1">
        <w:r>
          <w:rPr>
            <w:rStyle w:val="Hyperlink"/>
          </w:rPr>
          <w:t>[7]</w:t>
        </w:r>
      </w:hyperlink>
      <w:r>
        <w:t xml:space="preserve"> </w:t>
      </w:r>
      <w:hyperlink w:anchor="source8" w:history="1">
        <w:r>
          <w:rPr>
            <w:rStyle w:val="Hyperlink"/>
          </w:rPr>
          <w:t>[8]</w:t>
        </w:r>
      </w:hyperlink>
    </w:p>
    <w:p>
      <w:bookmarkStart w:id="10" w:name="artifact1"/>
      <w:pPr>
        <w:pStyle w:val="Heading1"/>
        <w:keepNext/>
        <w:keepLines/>
        <w:pageBreakBefore/>
        <w:widowControl/>
      </w:pPr>
      <w:r>
        <w:rPr>
          <w:rFonts w:ascii="Liberation Sans" w:hAnsi="Liberation Sans"/>
          <w:b/>
          <w:color w:val="17324D"/>
          <w:sz w:val="36"/>
        </w:rPr>
        <w:t>Artifact 1 — AI Workflow Evidence Map</w:t>
      </w:r>
      <w:bookmarkEnd w:id="10"/>
    </w:p>
    <w:p>
      <w:pPr>
        <w:keepNext w:val="0"/>
        <w:keepLines w:val="0"/>
        <w:widowControl/>
        <w:spacing w:before="0" w:after="120" w:line="252" w:lineRule="auto"/>
      </w:pPr>
      <w:r>
        <w:rPr>
          <w:rFonts w:ascii="Liberation Sans" w:hAnsi="Liberation Sans"/>
          <w:b w:val="0"/>
          <w:i/>
          <w:color w:val="5E6A73"/>
          <w:sz w:val="18"/>
        </w:rPr>
        <w:t>Stable HTML anchor: #ai-workflow-evidence-map</w:t>
      </w:r>
    </w:p>
    <w:p>
      <w:pPr>
        <w:keepNext/>
        <w:widowControl/>
        <w:jc w:val="center"/>
      </w:pPr>
      <w:r>
        <w:drawing>
          <wp:inline xmlns:a="http://schemas.openxmlformats.org/drawingml/2006/main" xmlns:pic="http://schemas.openxmlformats.org/drawingml/2006/picture">
            <wp:extent cx="6309360" cy="2278380"/>
            <wp:docPr id="1" name="Picture 1" title="Synthetic workflow and evidence chain" descr="A three-lane diagram showing human origination, AI-assisted drafting, human review and approval, downstream booking, and distributed retained evidence."/>
            <wp:cNvGraphicFramePr>
              <a:graphicFrameLocks noChangeAspect="1"/>
            </wp:cNvGraphicFramePr>
            <a:graphic>
              <a:graphicData uri="http://schemas.openxmlformats.org/drawingml/2006/picture">
                <pic:pic>
                  <pic:nvPicPr>
                    <pic:cNvPr id="0" name="workflow.png"/>
                    <pic:cNvPicPr/>
                  </pic:nvPicPr>
                  <pic:blipFill>
                    <a:blip r:embed="rId11"/>
                    <a:stretch>
                      <a:fillRect/>
                    </a:stretch>
                  </pic:blipFill>
                  <pic:spPr>
                    <a:xfrm>
                      <a:off x="0" y="0"/>
                      <a:ext cx="6309360" cy="2278380"/>
                    </a:xfrm>
                    <a:prstGeom prst="rect"/>
                  </pic:spPr>
                </pic:pic>
              </a:graphicData>
            </a:graphic>
          </wp:inline>
        </w:drawing>
      </w:r>
    </w:p>
    <w:p>
      <w:pPr>
        <w:widowControl/>
        <w:spacing w:after="160"/>
        <w:jc w:val="center"/>
      </w:pPr>
      <w:r>
        <w:rPr>
          <w:rFonts w:ascii="Liberation Sans" w:hAnsi="Liberation Sans"/>
          <w:i/>
          <w:color w:val="5E6A73"/>
          <w:sz w:val="16"/>
        </w:rPr>
        <w:t>Figure 1. Synthetic workflow and evidence chain.</w:t>
      </w:r>
    </w:p>
    <w:p>
      <w:pPr>
        <w:pStyle w:val="Heading2"/>
        <w:keepNext/>
        <w:keepLines/>
        <w:widowControl/>
      </w:pPr>
      <w:r>
        <w:rPr>
          <w:rFonts w:ascii="Liberation Sans" w:hAnsi="Liberation Sans"/>
          <w:b/>
          <w:color w:val="17324D"/>
          <w:sz w:val="26"/>
        </w:rPr>
        <w:t>Evidence-map conclusion</w:t>
      </w:r>
    </w:p>
    <w:p>
      <w:pPr>
        <w:keepNext w:val="0"/>
        <w:keepLines w:val="0"/>
        <w:widowControl/>
        <w:spacing w:before="0" w:after="100" w:line="252" w:lineRule="auto"/>
      </w:pPr>
      <w:r>
        <w:rPr>
          <w:rFonts w:ascii="Liberation Sans" w:hAnsi="Liberation Sans"/>
          <w:b w:val="0"/>
          <w:i w:val="0"/>
          <w:color w:val="25313B"/>
          <w:sz w:val="18"/>
        </w:rPr>
        <w:t>Strong evidence exists for the model deployment, frozen inputs, original AI output, analyst review and edit lineage, and final human approval. Partial evidence exists for the exact rendered prompt and precise retrieved policy context. The retained records do not form a complete, governed, time-bounded evidence chain, and no authoritative manifest binds all eight elements to the transaction.</w:t>
      </w:r>
    </w:p>
    <w:p>
      <w:pPr>
        <w:pStyle w:val="Heading2"/>
        <w:keepNext/>
        <w:keepLines/>
        <w:widowControl/>
      </w:pPr>
      <w:r>
        <w:rPr>
          <w:rFonts w:ascii="Liberation Sans" w:hAnsi="Liberation Sans"/>
          <w:b/>
          <w:color w:val="17324D"/>
          <w:sz w:val="26"/>
        </w:rPr>
        <w:t>Roles and decision authority</w:t>
      </w:r>
    </w:p>
    <w:tbl>
      <w:tblPr>
        <w:tblStyle w:val="TableGrid"/>
        <w:tblW w:type="auto" w:w="0"/>
        <w:jc w:val="center"/>
        <w:tblLayout w:type="fixed"/>
        <w:tblLook w:firstColumn="1" w:firstRow="1" w:lastColumn="0" w:lastRow="0" w:noHBand="0" w:noVBand="1" w:val="04A0"/>
      </w:tblPr>
      <w:tblGrid>
        <w:gridCol w:w="2541"/>
        <w:gridCol w:w="2541"/>
        <w:gridCol w:w="2541"/>
        <w:gridCol w:w="2541"/>
      </w:tblGrid>
      <w:tr>
        <w:trPr>
          <w:tblHeader w:val="true"/>
          <w:cantSplit/>
        </w:trPr>
        <w:tc>
          <w:tcPr>
            <w:tcW w:type="dxa" w:w="1080"/>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Actor</w:t>
            </w:r>
          </w:p>
        </w:tc>
        <w:tc>
          <w:tcPr>
            <w:tcW w:type="dxa" w:w="1800"/>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Fictional role</w:t>
            </w:r>
          </w:p>
        </w:tc>
        <w:tc>
          <w:tcPr>
            <w:tcW w:type="dxa" w:w="4968"/>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Workflow responsibility</w:t>
            </w:r>
          </w:p>
        </w:tc>
        <w:tc>
          <w:tcPr>
            <w:tcW w:type="dxa" w:w="2015"/>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Authority</w:t>
            </w:r>
          </w:p>
        </w:tc>
      </w:tr>
      <w:tr>
        <w:trPr>
          <w:cantSplit/>
        </w:trPr>
        <w:tc>
          <w:tcPr>
            <w:tcW w:type="dxa" w:w="108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ACT-01</w:t>
            </w:r>
          </w:p>
        </w:tc>
        <w:tc>
          <w:tcPr>
            <w:tcW w:type="dxa" w:w="180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Relationship Manager A</w:t>
            </w:r>
          </w:p>
        </w:tc>
        <w:tc>
          <w:tcPr>
            <w:tcW w:type="dxa" w:w="496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Initiates request and narrative context</w:t>
            </w:r>
          </w:p>
        </w:tc>
        <w:tc>
          <w:tcPr>
            <w:tcW w:type="dxa" w:w="2015"/>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No final credit authority</w:t>
            </w:r>
          </w:p>
        </w:tc>
      </w:tr>
      <w:tr>
        <w:trPr>
          <w:cantSplit/>
        </w:trPr>
        <w:tc>
          <w:tcPr>
            <w:tcW w:type="dxa" w:w="108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ACT-02</w:t>
            </w:r>
          </w:p>
        </w:tc>
        <w:tc>
          <w:tcPr>
            <w:tcW w:type="dxa" w:w="180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Credit Analyst A</w:t>
            </w:r>
          </w:p>
        </w:tc>
        <w:tc>
          <w:tcPr>
            <w:tcW w:type="dxa" w:w="496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Freezes inputs, invokes MemoAssist, reviews and edits, confirms possible exceptions</w:t>
            </w:r>
          </w:p>
        </w:tc>
        <w:tc>
          <w:tcPr>
            <w:tcW w:type="dxa" w:w="2015"/>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May recommend; may not finally approve</w:t>
            </w:r>
          </w:p>
        </w:tc>
      </w:tr>
      <w:tr>
        <w:trPr>
          <w:cantSplit/>
        </w:trPr>
        <w:tc>
          <w:tcPr>
            <w:tcW w:type="dxa" w:w="108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ACT-03</w:t>
            </w:r>
          </w:p>
        </w:tc>
        <w:tc>
          <w:tcPr>
            <w:tcW w:type="dxa" w:w="180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Credit Officer A</w:t>
            </w:r>
          </w:p>
        </w:tc>
        <w:tc>
          <w:tcPr>
            <w:tcW w:type="dxa" w:w="496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Reviews final memo, accepts exceptions, imposes conditions, approves</w:t>
            </w:r>
          </w:p>
        </w:tc>
        <w:tc>
          <w:tcPr>
            <w:tcW w:type="dxa" w:w="2015"/>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Final synthetic approval authority</w:t>
            </w:r>
          </w:p>
        </w:tc>
      </w:tr>
      <w:tr>
        <w:trPr>
          <w:cantSplit/>
        </w:trPr>
        <w:tc>
          <w:tcPr>
            <w:tcW w:type="dxa" w:w="108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ACT-04</w:t>
            </w:r>
          </w:p>
        </w:tc>
        <w:tc>
          <w:tcPr>
            <w:tcW w:type="dxa" w:w="180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Loan Operations Specialist A</w:t>
            </w:r>
          </w:p>
        </w:tc>
        <w:tc>
          <w:tcPr>
            <w:tcW w:type="dxa" w:w="496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Performs non-AI closing checks and booking</w:t>
            </w:r>
          </w:p>
        </w:tc>
        <w:tc>
          <w:tcPr>
            <w:tcW w:type="dxa" w:w="2015"/>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Cannot alter the credit decision</w:t>
            </w:r>
          </w:p>
        </w:tc>
      </w:tr>
    </w:tbl>
    <w:p>
      <w:pPr>
        <w:widowControl/>
        <w:spacing w:after="20"/>
      </w:pPr>
    </w:p>
    <w:p>
      <w:pPr>
        <w:pStyle w:val="Heading2"/>
        <w:keepNext/>
        <w:keepLines/>
        <w:widowControl/>
      </w:pPr>
      <w:r>
        <w:rPr>
          <w:rFonts w:ascii="Liberation Sans" w:hAnsi="Liberation Sans"/>
          <w:b/>
          <w:color w:val="17324D"/>
          <w:sz w:val="26"/>
        </w:rPr>
        <w:t>Systems and evidence stores</w:t>
      </w:r>
    </w:p>
    <w:tbl>
      <w:tblPr>
        <w:tblStyle w:val="TableGrid"/>
        <w:tblW w:type="auto" w:w="0"/>
        <w:jc w:val="center"/>
        <w:tblLayout w:type="fixed"/>
        <w:tblLook w:firstColumn="1" w:firstRow="1" w:lastColumn="0" w:lastRow="0" w:noHBand="0" w:noVBand="1" w:val="04A0"/>
      </w:tblPr>
      <w:tblGrid>
        <w:gridCol w:w="2033"/>
        <w:gridCol w:w="2033"/>
        <w:gridCol w:w="2033"/>
        <w:gridCol w:w="2033"/>
        <w:gridCol w:w="2033"/>
      </w:tblGrid>
      <w:tr>
        <w:trPr>
          <w:tblHeader w:val="true"/>
          <w:cantSplit/>
        </w:trPr>
        <w:tc>
          <w:tcPr>
            <w:tcW w:type="dxa" w:w="1440"/>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System</w:t>
            </w:r>
          </w:p>
        </w:tc>
        <w:tc>
          <w:tcPr>
            <w:tcW w:type="dxa" w:w="2448"/>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Name</w:t>
            </w:r>
          </w:p>
        </w:tc>
        <w:tc>
          <w:tcPr>
            <w:tcW w:type="dxa" w:w="3384"/>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Primary evidence</w:t>
            </w:r>
          </w:p>
        </w:tc>
        <w:tc>
          <w:tcPr>
            <w:tcW w:type="dxa" w:w="1655"/>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Recovered at six months</w:t>
            </w:r>
          </w:p>
        </w:tc>
        <w:tc>
          <w:tcPr>
            <w:tcW w:type="dxa" w:w="936"/>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Owner</w:t>
            </w:r>
          </w:p>
        </w:tc>
      </w:tr>
      <w:tr>
        <w:trPr>
          <w:cantSplit/>
        </w:trPr>
        <w:tc>
          <w:tcPr>
            <w:tcW w:type="dxa" w:w="144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SYN-SYS-01</w:t>
            </w:r>
          </w:p>
        </w:tc>
        <w:tc>
          <w:tcPr>
            <w:tcW w:type="dxa" w:w="244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Commercial Loan Origination System</w:t>
            </w:r>
          </w:p>
        </w:tc>
        <w:tc>
          <w:tcPr>
            <w:tcW w:type="dxa" w:w="3384"/>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Request, exceptions, approval</w:t>
            </w:r>
          </w:p>
        </w:tc>
        <w:tc>
          <w:tcPr>
            <w:tcW w:type="dxa" w:w="1655"/>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Yes</w:t>
            </w:r>
          </w:p>
        </w:tc>
        <w:tc>
          <w:tcPr>
            <w:tcW w:type="dxa" w:w="93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OWN-01</w:t>
            </w:r>
          </w:p>
        </w:tc>
      </w:tr>
      <w:tr>
        <w:trPr>
          <w:cantSplit/>
        </w:trPr>
        <w:tc>
          <w:tcPr>
            <w:tcW w:type="dxa" w:w="144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SYN-SYS-02</w:t>
            </w:r>
          </w:p>
        </w:tc>
        <w:tc>
          <w:tcPr>
            <w:tcW w:type="dxa" w:w="244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Financial Spreading Workbench</w:t>
            </w:r>
          </w:p>
        </w:tc>
        <w:tc>
          <w:tcPr>
            <w:tcW w:type="dxa" w:w="3384"/>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Structured financial snapshot</w:t>
            </w:r>
          </w:p>
        </w:tc>
        <w:tc>
          <w:tcPr>
            <w:tcW w:type="dxa" w:w="1655"/>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Yes</w:t>
            </w:r>
          </w:p>
        </w:tc>
        <w:tc>
          <w:tcPr>
            <w:tcW w:type="dxa" w:w="93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OWN-01</w:t>
            </w:r>
          </w:p>
        </w:tc>
      </w:tr>
      <w:tr>
        <w:trPr>
          <w:cantSplit/>
        </w:trPr>
        <w:tc>
          <w:tcPr>
            <w:tcW w:type="dxa" w:w="144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SYN-SYS-03</w:t>
            </w:r>
          </w:p>
        </w:tc>
        <w:tc>
          <w:tcPr>
            <w:tcW w:type="dxa" w:w="244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MemoAssist Application</w:t>
            </w:r>
          </w:p>
        </w:tc>
        <w:tc>
          <w:tcPr>
            <w:tcW w:type="dxa" w:w="3384"/>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Run, prompt selection, review, edits</w:t>
            </w:r>
          </w:p>
        </w:tc>
        <w:tc>
          <w:tcPr>
            <w:tcW w:type="dxa" w:w="1655"/>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Yes, except rendered prompt</w:t>
            </w:r>
          </w:p>
        </w:tc>
        <w:tc>
          <w:tcPr>
            <w:tcW w:type="dxa" w:w="93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OWN-03</w:t>
            </w:r>
          </w:p>
        </w:tc>
      </w:tr>
      <w:tr>
        <w:trPr>
          <w:cantSplit/>
        </w:trPr>
        <w:tc>
          <w:tcPr>
            <w:tcW w:type="dxa" w:w="144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SYN-SYS-04</w:t>
            </w:r>
          </w:p>
        </w:tc>
        <w:tc>
          <w:tcPr>
            <w:tcW w:type="dxa" w:w="244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Credit Policy Library</w:t>
            </w:r>
          </w:p>
        </w:tc>
        <w:tc>
          <w:tcPr>
            <w:tcW w:type="dxa" w:w="3384"/>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Versioned policy documents</w:t>
            </w:r>
          </w:p>
        </w:tc>
        <w:tc>
          <w:tcPr>
            <w:tcW w:type="dxa" w:w="1655"/>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Yes</w:t>
            </w:r>
          </w:p>
        </w:tc>
        <w:tc>
          <w:tcPr>
            <w:tcW w:type="dxa" w:w="93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OWN-04</w:t>
            </w:r>
          </w:p>
        </w:tc>
      </w:tr>
      <w:tr>
        <w:trPr>
          <w:cantSplit/>
        </w:trPr>
        <w:tc>
          <w:tcPr>
            <w:tcW w:type="dxa" w:w="144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SYN-SYS-05</w:t>
            </w:r>
          </w:p>
        </w:tc>
        <w:tc>
          <w:tcPr>
            <w:tcW w:type="dxa" w:w="244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Policy Retrieval Index</w:t>
            </w:r>
          </w:p>
        </w:tc>
        <w:tc>
          <w:tcPr>
            <w:tcW w:type="dxa" w:w="3384"/>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Retrieval metadata</w:t>
            </w:r>
          </w:p>
        </w:tc>
        <w:tc>
          <w:tcPr>
            <w:tcW w:type="dxa" w:w="1655"/>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Partial</w:t>
            </w:r>
          </w:p>
        </w:tc>
        <w:tc>
          <w:tcPr>
            <w:tcW w:type="dxa" w:w="93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OWN-02</w:t>
            </w:r>
          </w:p>
        </w:tc>
      </w:tr>
      <w:tr>
        <w:trPr>
          <w:cantSplit/>
        </w:trPr>
        <w:tc>
          <w:tcPr>
            <w:tcW w:type="dxa" w:w="144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SYN-SYS-06</w:t>
            </w:r>
          </w:p>
        </w:tc>
        <w:tc>
          <w:tcPr>
            <w:tcW w:type="dxa" w:w="244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Hosted Model Gateway</w:t>
            </w:r>
          </w:p>
        </w:tc>
        <w:tc>
          <w:tcPr>
            <w:tcW w:type="dxa" w:w="3384"/>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Invocation configuration and original response</w:t>
            </w:r>
          </w:p>
        </w:tc>
        <w:tc>
          <w:tcPr>
            <w:tcW w:type="dxa" w:w="1655"/>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Yes</w:t>
            </w:r>
          </w:p>
        </w:tc>
        <w:tc>
          <w:tcPr>
            <w:tcW w:type="dxa" w:w="93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OWN-02</w:t>
            </w:r>
          </w:p>
        </w:tc>
      </w:tr>
      <w:tr>
        <w:trPr>
          <w:cantSplit/>
        </w:trPr>
        <w:tc>
          <w:tcPr>
            <w:tcW w:type="dxa" w:w="144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SYN-SYS-07</w:t>
            </w:r>
          </w:p>
        </w:tc>
        <w:tc>
          <w:tcPr>
            <w:tcW w:type="dxa" w:w="244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Credit File Repository</w:t>
            </w:r>
          </w:p>
        </w:tc>
        <w:tc>
          <w:tcPr>
            <w:tcW w:type="dxa" w:w="3384"/>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Final memo and approval packet</w:t>
            </w:r>
          </w:p>
        </w:tc>
        <w:tc>
          <w:tcPr>
            <w:tcW w:type="dxa" w:w="1655"/>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Yes</w:t>
            </w:r>
          </w:p>
        </w:tc>
        <w:tc>
          <w:tcPr>
            <w:tcW w:type="dxa" w:w="93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OWN-01</w:t>
            </w:r>
          </w:p>
        </w:tc>
      </w:tr>
      <w:tr>
        <w:trPr>
          <w:cantSplit/>
        </w:trPr>
        <w:tc>
          <w:tcPr>
            <w:tcW w:type="dxa" w:w="144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SYN-SYS-08</w:t>
            </w:r>
          </w:p>
        </w:tc>
        <w:tc>
          <w:tcPr>
            <w:tcW w:type="dxa" w:w="244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Core Lending Booking System</w:t>
            </w:r>
          </w:p>
        </w:tc>
        <w:tc>
          <w:tcPr>
            <w:tcW w:type="dxa" w:w="3384"/>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Booked-facility record</w:t>
            </w:r>
          </w:p>
        </w:tc>
        <w:tc>
          <w:tcPr>
            <w:tcW w:type="dxa" w:w="1655"/>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Yes</w:t>
            </w:r>
          </w:p>
        </w:tc>
        <w:tc>
          <w:tcPr>
            <w:tcW w:type="dxa" w:w="93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OWN-01</w:t>
            </w:r>
          </w:p>
        </w:tc>
      </w:tr>
    </w:tbl>
    <w:p>
      <w:pPr>
        <w:widowControl/>
        <w:spacing w:after="20"/>
      </w:pPr>
    </w:p>
    <w:p>
      <w:pPr>
        <w:keepNext w:val="0"/>
        <w:keepLines w:val="0"/>
        <w:widowControl/>
        <w:spacing w:before="0" w:after="100" w:line="252" w:lineRule="auto"/>
      </w:pPr>
      <w:r>
        <w:rPr>
          <w:rFonts w:ascii="Liberation Sans" w:hAnsi="Liberation Sans"/>
          <w:b w:val="0"/>
          <w:i/>
          <w:color w:val="5E6A73"/>
          <w:sz w:val="18"/>
        </w:rPr>
        <w:t>Retention for every synthetic system: Not established in the synthetic evidence set. Provider identity: Intentionally omitted from the public sample; synthetic internal vendor code retained.</w:t>
      </w:r>
    </w:p>
    <w:p>
      <w:pPr>
        <w:pStyle w:val="Heading2"/>
        <w:keepNext/>
        <w:keepLines/>
        <w:widowControl/>
      </w:pPr>
      <w:r>
        <w:rPr>
          <w:rFonts w:ascii="Liberation Sans" w:hAnsi="Liberation Sans"/>
          <w:b/>
          <w:color w:val="17324D"/>
          <w:sz w:val="26"/>
        </w:rPr>
        <w:t>Model, prompt, and retrieval configuration</w:t>
      </w:r>
    </w:p>
    <w:tbl>
      <w:tblPr>
        <w:tblStyle w:val="TableGrid"/>
        <w:tblW w:type="auto" w:w="0"/>
        <w:jc w:val="center"/>
        <w:tblLayout w:type="fixed"/>
        <w:tblLook w:firstColumn="1" w:firstRow="1" w:lastColumn="0" w:lastRow="0" w:noHBand="0" w:noVBand="1" w:val="04A0"/>
      </w:tblPr>
      <w:tblGrid>
        <w:gridCol w:w="5083"/>
        <w:gridCol w:w="5083"/>
      </w:tblGrid>
      <w:tr>
        <w:trPr>
          <w:tblHeader w:val="true"/>
          <w:cantSplit/>
        </w:trPr>
        <w:tc>
          <w:tcPr>
            <w:tcW w:type="dxa" w:w="3168"/>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6"/>
              </w:rPr>
              <w:t>Field</w:t>
            </w:r>
          </w:p>
        </w:tc>
        <w:tc>
          <w:tcPr>
            <w:tcW w:type="dxa" w:w="6696"/>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6"/>
              </w:rPr>
              <w:t>Synthetic value</w:t>
            </w:r>
          </w:p>
        </w:tc>
      </w:tr>
      <w:tr>
        <w:trPr>
          <w:cantSplit/>
        </w:trPr>
        <w:tc>
          <w:tcPr>
            <w:tcW w:type="dxa" w:w="316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Application</w:t>
            </w:r>
          </w:p>
        </w:tc>
        <w:tc>
          <w:tcPr>
            <w:tcW w:type="dxa" w:w="669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SYN-APP-CM-2.8.1</w:t>
            </w:r>
          </w:p>
        </w:tc>
      </w:tr>
      <w:tr>
        <w:trPr>
          <w:cantSplit/>
        </w:trPr>
        <w:tc>
          <w:tcPr>
            <w:tcW w:type="dxa" w:w="316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Model record</w:t>
            </w:r>
          </w:p>
        </w:tc>
        <w:tc>
          <w:tcPr>
            <w:tcW w:type="dxa" w:w="669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SYN-MOD-01</w:t>
            </w:r>
          </w:p>
        </w:tc>
      </w:tr>
      <w:tr>
        <w:trPr>
          <w:cantSplit/>
        </w:trPr>
        <w:tc>
          <w:tcPr>
            <w:tcW w:type="dxa" w:w="316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Provider code</w:t>
            </w:r>
          </w:p>
        </w:tc>
        <w:tc>
          <w:tcPr>
            <w:tcW w:type="dxa" w:w="669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SYN-TP-LLM-01</w:t>
            </w:r>
          </w:p>
        </w:tc>
      </w:tr>
      <w:tr>
        <w:trPr>
          <w:cantSplit/>
        </w:trPr>
        <w:tc>
          <w:tcPr>
            <w:tcW w:type="dxa" w:w="316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Model revision</w:t>
            </w:r>
          </w:p>
        </w:tc>
        <w:tc>
          <w:tcPr>
            <w:tcW w:type="dxa" w:w="669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SYN-GEN-A-2025-11-17</w:t>
            </w:r>
          </w:p>
        </w:tc>
      </w:tr>
      <w:tr>
        <w:trPr>
          <w:cantSplit/>
        </w:trPr>
        <w:tc>
          <w:tcPr>
            <w:tcW w:type="dxa" w:w="316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Deployment</w:t>
            </w:r>
          </w:p>
        </w:tc>
        <w:tc>
          <w:tcPr>
            <w:tcW w:type="dxa" w:w="669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SYN-DEP-CREDIT-MEMO-R3</w:t>
            </w:r>
          </w:p>
        </w:tc>
      </w:tr>
      <w:tr>
        <w:trPr>
          <w:cantSplit/>
        </w:trPr>
        <w:tc>
          <w:tcPr>
            <w:tcW w:type="dxa" w:w="316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Gateway config</w:t>
            </w:r>
          </w:p>
        </w:tc>
        <w:tc>
          <w:tcPr>
            <w:tcW w:type="dxa" w:w="669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SYN-CFG-2026-01-03</w:t>
            </w:r>
          </w:p>
        </w:tc>
      </w:tr>
      <w:tr>
        <w:trPr>
          <w:cantSplit/>
        </w:trPr>
        <w:tc>
          <w:tcPr>
            <w:tcW w:type="dxa" w:w="316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Temperature / top-p</w:t>
            </w:r>
          </w:p>
        </w:tc>
        <w:tc>
          <w:tcPr>
            <w:tcW w:type="dxa" w:w="669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0.2 / 0.9</w:t>
            </w:r>
          </w:p>
        </w:tc>
      </w:tr>
      <w:tr>
        <w:trPr>
          <w:cantSplit/>
        </w:trPr>
        <w:tc>
          <w:tcPr>
            <w:tcW w:type="dxa" w:w="316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Maximum output</w:t>
            </w:r>
          </w:p>
        </w:tc>
        <w:tc>
          <w:tcPr>
            <w:tcW w:type="dxa" w:w="669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3,500 tokens</w:t>
            </w:r>
          </w:p>
        </w:tc>
      </w:tr>
      <w:tr>
        <w:trPr>
          <w:cantSplit/>
        </w:trPr>
        <w:tc>
          <w:tcPr>
            <w:tcW w:type="dxa" w:w="316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Prompt template</w:t>
            </w:r>
          </w:p>
        </w:tc>
        <w:tc>
          <w:tcPr>
            <w:tcW w:type="dxa" w:w="669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SYN-PRM-CM-3.4.2</w:t>
            </w:r>
          </w:p>
        </w:tc>
      </w:tr>
      <w:tr>
        <w:trPr>
          <w:cantSplit/>
        </w:trPr>
        <w:tc>
          <w:tcPr>
            <w:tcW w:type="dxa" w:w="316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Corpus</w:t>
            </w:r>
          </w:p>
        </w:tc>
        <w:tc>
          <w:tcPr>
            <w:tcW w:type="dxa" w:w="669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SYN-CORP-CREDIT-2026-01-05.1</w:t>
            </w:r>
          </w:p>
        </w:tc>
      </w:tr>
      <w:tr>
        <w:trPr>
          <w:cantSplit/>
        </w:trPr>
        <w:tc>
          <w:tcPr>
            <w:tcW w:type="dxa" w:w="316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Invocation</w:t>
            </w:r>
          </w:p>
        </w:tc>
        <w:tc>
          <w:tcPr>
            <w:tcW w:type="dxa" w:w="669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SYN-INV-20260112-100518-0042</w:t>
            </w:r>
          </w:p>
        </w:tc>
      </w:tr>
      <w:tr>
        <w:trPr>
          <w:cantSplit/>
        </w:trPr>
        <w:tc>
          <w:tcPr>
            <w:tcW w:type="dxa" w:w="316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Retrieval event</w:t>
            </w:r>
          </w:p>
        </w:tc>
        <w:tc>
          <w:tcPr>
            <w:tcW w:type="dxa" w:w="669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SYN-RET-0042-01</w:t>
            </w:r>
          </w:p>
        </w:tc>
      </w:tr>
    </w:tbl>
    <w:p>
      <w:pPr>
        <w:widowControl/>
        <w:spacing w:after="20"/>
      </w:pPr>
    </w:p>
    <w:p>
      <w:pPr>
        <w:pStyle w:val="Heading2"/>
        <w:keepNext/>
        <w:keepLines/>
        <w:widowControl/>
      </w:pPr>
      <w:r>
        <w:rPr>
          <w:rFonts w:ascii="Liberation Sans" w:hAnsi="Liberation Sans"/>
          <w:b/>
          <w:color w:val="17324D"/>
          <w:sz w:val="26"/>
        </w:rPr>
        <w:t>Evidence-element summary</w:t>
      </w:r>
    </w:p>
    <w:tbl>
      <w:tblPr>
        <w:tblStyle w:val="TableGrid"/>
        <w:tblW w:type="auto" w:w="0"/>
        <w:jc w:val="center"/>
        <w:tblLayout w:type="fixed"/>
        <w:tblLook w:firstColumn="1" w:firstRow="1" w:lastColumn="0" w:lastRow="0" w:noHBand="0" w:noVBand="1" w:val="04A0"/>
      </w:tblPr>
      <w:tblGrid>
        <w:gridCol w:w="2033"/>
        <w:gridCol w:w="2033"/>
        <w:gridCol w:w="2033"/>
        <w:gridCol w:w="2033"/>
        <w:gridCol w:w="2033"/>
      </w:tblGrid>
      <w:tr>
        <w:trPr>
          <w:tblHeader w:val="true"/>
          <w:cantSplit/>
        </w:trPr>
        <w:tc>
          <w:tcPr>
            <w:tcW w:type="dxa" w:w="936"/>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4"/>
              </w:rPr>
              <w:t>ID</w:t>
            </w:r>
          </w:p>
        </w:tc>
        <w:tc>
          <w:tcPr>
            <w:tcW w:type="dxa" w:w="1944"/>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4"/>
              </w:rPr>
              <w:t>Element</w:t>
            </w:r>
          </w:p>
        </w:tc>
        <w:tc>
          <w:tcPr>
            <w:tcW w:type="dxa" w:w="936"/>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4"/>
              </w:rPr>
              <w:t>Status</w:t>
            </w:r>
          </w:p>
        </w:tc>
        <w:tc>
          <w:tcPr>
            <w:tcW w:type="dxa" w:w="4824"/>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4"/>
              </w:rPr>
              <w:t>Observed evidence</w:t>
            </w:r>
          </w:p>
        </w:tc>
        <w:tc>
          <w:tcPr>
            <w:tcW w:type="dxa" w:w="1224"/>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4"/>
              </w:rPr>
              <w:t>Gaps</w:t>
            </w:r>
          </w:p>
        </w:tc>
      </w:tr>
      <w:tr>
        <w:trPr>
          <w:cantSplit/>
        </w:trPr>
        <w:tc>
          <w:tcPr>
            <w:tcW w:type="dxa" w:w="93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EV-01</w:t>
            </w:r>
          </w:p>
        </w:tc>
        <w:tc>
          <w:tcPr>
            <w:tcW w:type="dxa" w:w="1944"/>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Model version</w:t>
            </w:r>
          </w:p>
        </w:tc>
        <w:tc>
          <w:tcPr>
            <w:tcW w:type="dxa" w:w="93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Present</w:t>
            </w:r>
          </w:p>
        </w:tc>
        <w:tc>
          <w:tcPr>
            <w:tcW w:type="dxa" w:w="4824"/>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Invocation, provider code, revision, deployment, configuration</w:t>
            </w:r>
          </w:p>
        </w:tc>
        <w:tc>
          <w:tcPr>
            <w:tcW w:type="dxa" w:w="1224"/>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GAP-06</w:t>
            </w:r>
          </w:p>
        </w:tc>
      </w:tr>
      <w:tr>
        <w:trPr>
          <w:cantSplit/>
        </w:trPr>
        <w:tc>
          <w:tcPr>
            <w:tcW w:type="dxa" w:w="93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EV-02</w:t>
            </w:r>
          </w:p>
        </w:tc>
        <w:tc>
          <w:tcPr>
            <w:tcW w:type="dxa" w:w="1944"/>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Prompt / system instruction</w:t>
            </w:r>
          </w:p>
        </w:tc>
        <w:tc>
          <w:tcPr>
            <w:tcW w:type="dxa" w:w="93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Partial</w:t>
            </w:r>
          </w:p>
        </w:tc>
        <w:tc>
          <w:tcPr>
            <w:tcW w:type="dxa" w:w="4824"/>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Template retained; exact rendered prompt absent</w:t>
            </w:r>
          </w:p>
        </w:tc>
        <w:tc>
          <w:tcPr>
            <w:tcW w:type="dxa" w:w="1224"/>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GAP-01, GAP-07</w:t>
            </w:r>
          </w:p>
        </w:tc>
      </w:tr>
      <w:tr>
        <w:trPr>
          <w:cantSplit/>
        </w:trPr>
        <w:tc>
          <w:tcPr>
            <w:tcW w:type="dxa" w:w="93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EV-03</w:t>
            </w:r>
          </w:p>
        </w:tc>
        <w:tc>
          <w:tcPr>
            <w:tcW w:type="dxa" w:w="1944"/>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Input data</w:t>
            </w:r>
          </w:p>
        </w:tc>
        <w:tc>
          <w:tcPr>
            <w:tcW w:type="dxa" w:w="93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Present</w:t>
            </w:r>
          </w:p>
        </w:tc>
        <w:tc>
          <w:tcPr>
            <w:tcW w:type="dxa" w:w="4824"/>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Frozen structured snapshot and narrative</w:t>
            </w:r>
          </w:p>
        </w:tc>
        <w:tc>
          <w:tcPr>
            <w:tcW w:type="dxa" w:w="1224"/>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GAP-07</w:t>
            </w:r>
          </w:p>
        </w:tc>
      </w:tr>
      <w:tr>
        <w:trPr>
          <w:cantSplit/>
        </w:trPr>
        <w:tc>
          <w:tcPr>
            <w:tcW w:type="dxa" w:w="93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EV-04</w:t>
            </w:r>
          </w:p>
        </w:tc>
        <w:tc>
          <w:tcPr>
            <w:tcW w:type="dxa" w:w="1944"/>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Retrieved sources</w:t>
            </w:r>
          </w:p>
        </w:tc>
        <w:tc>
          <w:tcPr>
            <w:tcW w:type="dxa" w:w="93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Partial</w:t>
            </w:r>
          </w:p>
        </w:tc>
        <w:tc>
          <w:tcPr>
            <w:tcW w:type="dxa" w:w="4824"/>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Corpus and policy versions retained; chunk trace absent</w:t>
            </w:r>
          </w:p>
        </w:tc>
        <w:tc>
          <w:tcPr>
            <w:tcW w:type="dxa" w:w="1224"/>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GAP-02</w:t>
            </w:r>
          </w:p>
        </w:tc>
      </w:tr>
      <w:tr>
        <w:trPr>
          <w:cantSplit/>
        </w:trPr>
        <w:tc>
          <w:tcPr>
            <w:tcW w:type="dxa" w:w="93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EV-05</w:t>
            </w:r>
          </w:p>
        </w:tc>
        <w:tc>
          <w:tcPr>
            <w:tcW w:type="dxa" w:w="1944"/>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Original output</w:t>
            </w:r>
          </w:p>
        </w:tc>
        <w:tc>
          <w:tcPr>
            <w:tcW w:type="dxa" w:w="93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Present</w:t>
            </w:r>
          </w:p>
        </w:tc>
        <w:tc>
          <w:tcPr>
            <w:tcW w:type="dxa" w:w="4824"/>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Complete unedited model response, timestamp, and invocation link were produced.</w:t>
            </w:r>
          </w:p>
        </w:tc>
        <w:tc>
          <w:tcPr>
            <w:tcW w:type="dxa" w:w="1224"/>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GAP-03</w:t>
            </w:r>
          </w:p>
        </w:tc>
      </w:tr>
      <w:tr>
        <w:trPr>
          <w:cantSplit/>
        </w:trPr>
        <w:tc>
          <w:tcPr>
            <w:tcW w:type="dxa" w:w="93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EV-06</w:t>
            </w:r>
          </w:p>
        </w:tc>
        <w:tc>
          <w:tcPr>
            <w:tcW w:type="dxa" w:w="1944"/>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Human reviewer</w:t>
            </w:r>
          </w:p>
        </w:tc>
        <w:tc>
          <w:tcPr>
            <w:tcW w:type="dxa" w:w="93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Present</w:t>
            </w:r>
          </w:p>
        </w:tc>
        <w:tc>
          <w:tcPr>
            <w:tcW w:type="dxa" w:w="4824"/>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Reviewer identity, displayed version, review timestamp, edit lineage</w:t>
            </w:r>
          </w:p>
        </w:tc>
        <w:tc>
          <w:tcPr>
            <w:tcW w:type="dxa" w:w="1224"/>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GAP-05, GAP-03</w:t>
            </w:r>
          </w:p>
        </w:tc>
      </w:tr>
      <w:tr>
        <w:trPr>
          <w:cantSplit/>
        </w:trPr>
        <w:tc>
          <w:tcPr>
            <w:tcW w:type="dxa" w:w="93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EV-07</w:t>
            </w:r>
          </w:p>
        </w:tc>
        <w:tc>
          <w:tcPr>
            <w:tcW w:type="dxa" w:w="1944"/>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Approval / override record</w:t>
            </w:r>
          </w:p>
        </w:tc>
        <w:tc>
          <w:tcPr>
            <w:tcW w:type="dxa" w:w="93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Present</w:t>
            </w:r>
          </w:p>
        </w:tc>
        <w:tc>
          <w:tcPr>
            <w:tcW w:type="dxa" w:w="4824"/>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Approval, exceptions, conditions, basis, timestamp</w:t>
            </w:r>
          </w:p>
        </w:tc>
        <w:tc>
          <w:tcPr>
            <w:tcW w:type="dxa" w:w="1224"/>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GAP-05, GAP-03</w:t>
            </w:r>
          </w:p>
        </w:tc>
      </w:tr>
      <w:tr>
        <w:trPr>
          <w:cantSplit/>
        </w:trPr>
        <w:tc>
          <w:tcPr>
            <w:tcW w:type="dxa" w:w="93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EV-08</w:t>
            </w:r>
          </w:p>
        </w:tc>
        <w:tc>
          <w:tcPr>
            <w:tcW w:type="dxa" w:w="1944"/>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Retained evidence</w:t>
            </w:r>
          </w:p>
        </w:tc>
        <w:tc>
          <w:tcPr>
            <w:tcW w:type="dxa" w:w="93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Missing</w:t>
            </w:r>
          </w:p>
        </w:tc>
        <w:tc>
          <w:tcPr>
            <w:tcW w:type="dxa" w:w="4824"/>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Individual records exist; integrated governed chain does not</w:t>
            </w:r>
          </w:p>
        </w:tc>
        <w:tc>
          <w:tcPr>
            <w:tcW w:type="dxa" w:w="1224"/>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GAP-03, GAP-04</w:t>
            </w:r>
          </w:p>
        </w:tc>
      </w:tr>
    </w:tbl>
    <w:p>
      <w:pPr>
        <w:widowControl/>
        <w:spacing w:after="20"/>
      </w:pPr>
    </w:p>
    <w:tbl>
      <w:tblPr>
        <w:tblW w:type="auto" w:w="0"/>
        <w:jc w:val="center"/>
        <w:tblLayout w:type="fixed"/>
        <w:tblLook w:firstColumn="1" w:firstRow="1" w:lastColumn="0" w:lastRow="0" w:noHBand="0" w:noVBand="1" w:val="04A0"/>
      </w:tblPr>
      <w:tblGrid>
        <w:gridCol w:w="10166"/>
      </w:tblGrid>
      <w:tr>
        <w:tc>
          <w:tcPr>
            <w:tcW w:type="dxa" w:w="10008"/>
            <w:shd w:fill="F4F7F9"/>
            <w:tcMar>
              <w:top w:w="120" w:type="dxa"/>
              <w:start w:w="150" w:type="dxa"/>
              <w:bottom w:w="120" w:type="dxa"/>
              <w:end w:w="150" w:type="dxa"/>
            </w:tcMar>
            <w:vAlign w:val="center"/>
            <w:tcBorders>
              <w:top w:val="single" w:sz="8" w:color="D5DEE5"/>
              <w:left w:val="single" w:sz="8" w:color="D5DEE5"/>
              <w:bottom w:val="single" w:sz="8" w:color="D5DEE5"/>
              <w:right w:val="single" w:sz="8" w:color="D5DEE5"/>
            </w:tcBorders>
          </w:tcPr>
          <w:p>
            <w:pPr>
              <w:keepNext/>
              <w:keepLines/>
              <w:widowControl/>
              <w:spacing w:before="0" w:after="60" w:line="252" w:lineRule="auto"/>
            </w:pPr>
            <w:r>
              <w:rPr>
                <w:rFonts w:ascii="Liberation Sans" w:hAnsi="Liberation Sans"/>
                <w:b/>
                <w:color w:val="17324D"/>
                <w:sz w:val="20"/>
              </w:rPr>
              <w:t>Detailed map</w:t>
            </w:r>
          </w:p>
          <w:p>
            <w:pPr>
              <w:keepNext w:val="0"/>
              <w:keepLines/>
              <w:widowControl/>
              <w:spacing w:before="0" w:after="0" w:line="252" w:lineRule="auto"/>
            </w:pPr>
            <w:r>
              <w:rPr>
                <w:rFonts w:ascii="Liberation Sans" w:hAnsi="Liberation Sans"/>
                <w:color w:val="25313B"/>
                <w:sz w:val="18"/>
              </w:rPr>
              <w:t>The complete 16-stage workflow-stage evidence map is preserved in Appendix A, split across smaller landscape tables to avoid unreadable word wrapping.</w:t>
            </w:r>
          </w:p>
        </w:tc>
      </w:tr>
    </w:tbl>
    <w:p>
      <w:bookmarkStart w:id="20" w:name="artifact2"/>
      <w:pPr>
        <w:pStyle w:val="Heading1"/>
        <w:keepNext/>
        <w:keepLines/>
        <w:pageBreakBefore/>
        <w:widowControl/>
      </w:pPr>
      <w:r>
        <w:rPr>
          <w:rFonts w:ascii="Liberation Sans" w:hAnsi="Liberation Sans"/>
          <w:b/>
          <w:color w:val="17324D"/>
          <w:sz w:val="36"/>
        </w:rPr>
        <w:t>Artifact 2 — Six-Month Reconstruction Test</w:t>
      </w:r>
      <w:bookmarkEnd w:id="20"/>
    </w:p>
    <w:p>
      <w:pPr>
        <w:keepNext w:val="0"/>
        <w:keepLines w:val="0"/>
        <w:widowControl/>
        <w:spacing w:before="0" w:after="120" w:line="252" w:lineRule="auto"/>
      </w:pPr>
      <w:r>
        <w:rPr>
          <w:rFonts w:ascii="Liberation Sans" w:hAnsi="Liberation Sans"/>
          <w:b w:val="0"/>
          <w:i/>
          <w:color w:val="5E6A73"/>
          <w:sz w:val="18"/>
        </w:rPr>
        <w:t>Stable HTML anchor: #six-month-reconstruction-test</w:t>
      </w:r>
    </w:p>
    <w:p>
      <w:pPr>
        <w:keepNext/>
        <w:widowControl/>
        <w:jc w:val="center"/>
      </w:pPr>
      <w:r>
        <w:drawing>
          <wp:inline xmlns:a="http://schemas.openxmlformats.org/drawingml/2006/main" xmlns:pic="http://schemas.openxmlformats.org/drawingml/2006/picture">
            <wp:extent cx="6309360" cy="1822704"/>
            <wp:docPr id="2" name="Picture 2" title="Synthetic reconstruction timeline" descr="A horizontal timeline from the initial credit request through inputs, AI generation, analyst review, human approval, booking, and the six-month reconstruction test."/>
            <wp:cNvGraphicFramePr>
              <a:graphicFrameLocks noChangeAspect="1"/>
            </wp:cNvGraphicFramePr>
            <a:graphic>
              <a:graphicData uri="http://schemas.openxmlformats.org/drawingml/2006/picture">
                <pic:pic>
                  <pic:nvPicPr>
                    <pic:cNvPr id="0" name="timeline.png"/>
                    <pic:cNvPicPr/>
                  </pic:nvPicPr>
                  <pic:blipFill>
                    <a:blip r:embed="rId12"/>
                    <a:stretch>
                      <a:fillRect/>
                    </a:stretch>
                  </pic:blipFill>
                  <pic:spPr>
                    <a:xfrm>
                      <a:off x="0" y="0"/>
                      <a:ext cx="6309360" cy="1822704"/>
                    </a:xfrm>
                    <a:prstGeom prst="rect"/>
                  </pic:spPr>
                </pic:pic>
              </a:graphicData>
            </a:graphic>
          </wp:inline>
        </w:drawing>
      </w:r>
    </w:p>
    <w:p>
      <w:pPr>
        <w:widowControl/>
        <w:spacing w:after="160"/>
        <w:jc w:val="center"/>
      </w:pPr>
      <w:r>
        <w:rPr>
          <w:rFonts w:ascii="Liberation Sans" w:hAnsi="Liberation Sans"/>
          <w:i/>
          <w:color w:val="5E6A73"/>
          <w:sz w:val="16"/>
        </w:rPr>
        <w:t>Figure 2. Synthetic transaction and reconstruction timeline.</w:t>
      </w:r>
    </w:p>
    <w:p>
      <w:pPr>
        <w:pStyle w:val="Heading2"/>
        <w:keepNext/>
        <w:keepLines/>
        <w:widowControl/>
      </w:pPr>
      <w:r>
        <w:rPr>
          <w:rFonts w:ascii="Liberation Sans" w:hAnsi="Liberation Sans"/>
          <w:b/>
          <w:color w:val="17324D"/>
          <w:sz w:val="26"/>
        </w:rPr>
        <w:t>Test objective</w:t>
      </w:r>
    </w:p>
    <w:tbl>
      <w:tblPr>
        <w:tblW w:type="auto" w:w="0"/>
        <w:jc w:val="center"/>
        <w:tblLayout w:type="fixed"/>
        <w:tblLook w:firstColumn="1" w:firstRow="1" w:lastColumn="0" w:lastRow="0" w:noHBand="0" w:noVBand="1" w:val="04A0"/>
      </w:tblPr>
      <w:tblGrid>
        <w:gridCol w:w="10166"/>
      </w:tblGrid>
      <w:tr>
        <w:tc>
          <w:tcPr>
            <w:tcW w:type="dxa" w:w="10008"/>
            <w:shd w:fill="E8F0F5"/>
            <w:tcMar>
              <w:top w:w="120" w:type="dxa"/>
              <w:start w:w="150" w:type="dxa"/>
              <w:bottom w:w="120" w:type="dxa"/>
              <w:end w:w="150" w:type="dxa"/>
            </w:tcMar>
            <w:vAlign w:val="center"/>
            <w:tcBorders>
              <w:top w:val="single" w:sz="8" w:color="1E5A7A"/>
              <w:left w:val="single" w:sz="8" w:color="1E5A7A"/>
              <w:bottom w:val="single" w:sz="8" w:color="1E5A7A"/>
              <w:right w:val="single" w:sz="8" w:color="1E5A7A"/>
            </w:tcBorders>
          </w:tcPr>
          <w:p>
            <w:pPr>
              <w:keepNext/>
              <w:keepLines/>
              <w:widowControl/>
              <w:spacing w:before="0" w:after="60" w:line="252" w:lineRule="auto"/>
            </w:pPr>
            <w:r>
              <w:rPr>
                <w:rFonts w:ascii="Liberation Sans" w:hAnsi="Liberation Sans"/>
                <w:b/>
                <w:color w:val="17324D"/>
                <w:sz w:val="20"/>
              </w:rPr>
              <w:t>Reconstruction question</w:t>
            </w:r>
          </w:p>
          <w:p>
            <w:pPr>
              <w:keepNext w:val="0"/>
              <w:keepLines/>
              <w:widowControl/>
              <w:spacing w:before="0" w:after="0" w:line="252" w:lineRule="auto"/>
            </w:pPr>
            <w:r>
              <w:rPr>
                <w:rFonts w:ascii="Liberation Sans" w:hAnsi="Liberation Sans"/>
                <w:color w:val="25313B"/>
                <w:sz w:val="18"/>
              </w:rPr>
              <w:t>Six months after the event, can Example Regional Bank reconstruct how the AI-assisted commercial credit memorandum for synthetic transaction SCM-2026-0042 was produced, reviewed, changed, approved, and connected to the downstream action using retained evidence rather than interviews, memory, or recreated context?</w:t>
            </w:r>
          </w:p>
        </w:tc>
      </w:tr>
    </w:tbl>
    <w:p>
      <w:pPr>
        <w:pStyle w:val="Heading2"/>
        <w:keepNext/>
        <w:keepLines/>
        <w:widowControl/>
      </w:pPr>
      <w:r>
        <w:rPr>
          <w:rFonts w:ascii="Liberation Sans" w:hAnsi="Liberation Sans"/>
          <w:b/>
          <w:color w:val="17324D"/>
          <w:sz w:val="26"/>
        </w:rPr>
        <w:t>Sampled task and outcome</w:t>
      </w:r>
    </w:p>
    <w:tbl>
      <w:tblPr>
        <w:tblStyle w:val="TableGrid"/>
        <w:tblW w:type="auto" w:w="0"/>
        <w:jc w:val="center"/>
        <w:tblLayout w:type="fixed"/>
        <w:tblLook w:firstColumn="1" w:firstRow="1" w:lastColumn="0" w:lastRow="0" w:noHBand="0" w:noVBand="1" w:val="04A0"/>
      </w:tblPr>
      <w:tblGrid>
        <w:gridCol w:w="5083"/>
        <w:gridCol w:w="5083"/>
      </w:tblGrid>
      <w:tr>
        <w:trPr>
          <w:tblHeader w:val="true"/>
          <w:cantSplit/>
        </w:trPr>
        <w:tc>
          <w:tcPr>
            <w:tcW w:type="dxa" w:w="2880"/>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6"/>
              </w:rPr>
              <w:t>Object</w:t>
            </w:r>
          </w:p>
        </w:tc>
        <w:tc>
          <w:tcPr>
            <w:tcW w:type="dxa" w:w="6983"/>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6"/>
              </w:rPr>
              <w:t>Synthetic record or formulation</w:t>
            </w:r>
          </w:p>
        </w:tc>
      </w:tr>
      <w:tr>
        <w:trPr>
          <w:cantSplit/>
        </w:trPr>
        <w:tc>
          <w:tcPr>
            <w:tcW w:type="dxa" w:w="288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Human business question</w:t>
            </w:r>
          </w:p>
        </w:tc>
        <w:tc>
          <w:tcPr>
            <w:tcW w:type="dxa" w:w="6983"/>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Whether to approve the requested facility renewal and increase under human-originated terms</w:t>
            </w:r>
          </w:p>
        </w:tc>
      </w:tr>
      <w:tr>
        <w:trPr>
          <w:cantSplit/>
        </w:trPr>
        <w:tc>
          <w:tcPr>
            <w:tcW w:type="dxa" w:w="288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AI task</w:t>
            </w:r>
          </w:p>
        </w:tc>
        <w:tc>
          <w:tcPr>
            <w:tcW w:type="dxa" w:w="6983"/>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Draft specified memorandum sections and identify possible policy exceptions</w:t>
            </w:r>
          </w:p>
        </w:tc>
      </w:tr>
      <w:tr>
        <w:trPr>
          <w:cantSplit/>
        </w:trPr>
        <w:tc>
          <w:tcPr>
            <w:tcW w:type="dxa" w:w="288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Original AI artifact</w:t>
            </w:r>
          </w:p>
        </w:tc>
        <w:tc>
          <w:tcPr>
            <w:tcW w:type="dxa" w:w="6983"/>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SYN-OUT-0042-V0</w:t>
            </w:r>
          </w:p>
        </w:tc>
      </w:tr>
      <w:tr>
        <w:trPr>
          <w:cantSplit/>
        </w:trPr>
        <w:tc>
          <w:tcPr>
            <w:tcW w:type="dxa" w:w="288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Final analyst artifact</w:t>
            </w:r>
          </w:p>
        </w:tc>
        <w:tc>
          <w:tcPr>
            <w:tcW w:type="dxa" w:w="6983"/>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SYN-MEMO-0042-V2</w:t>
            </w:r>
          </w:p>
        </w:tc>
      </w:tr>
      <w:tr>
        <w:trPr>
          <w:cantSplit/>
        </w:trPr>
        <w:tc>
          <w:tcPr>
            <w:tcW w:type="dxa" w:w="288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Human approval</w:t>
            </w:r>
          </w:p>
        </w:tc>
        <w:tc>
          <w:tcPr>
            <w:tcW w:type="dxa" w:w="6983"/>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SYN-APR-0042-01</w:t>
            </w:r>
          </w:p>
        </w:tc>
      </w:tr>
      <w:tr>
        <w:trPr>
          <w:cantSplit/>
        </w:trPr>
        <w:tc>
          <w:tcPr>
            <w:tcW w:type="dxa" w:w="288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Downstream action</w:t>
            </w:r>
          </w:p>
        </w:tc>
        <w:tc>
          <w:tcPr>
            <w:tcW w:type="dxa" w:w="6983"/>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SYN-BOOK-0042-01</w:t>
            </w:r>
          </w:p>
        </w:tc>
      </w:tr>
      <w:tr>
        <w:trPr>
          <w:cantSplit/>
        </w:trPr>
        <w:tc>
          <w:tcPr>
            <w:tcW w:type="dxa" w:w="288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Reconstruction request</w:t>
            </w:r>
          </w:p>
        </w:tc>
        <w:tc>
          <w:tcPr>
            <w:tcW w:type="dxa" w:w="6983"/>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SYN-REC-0042-01</w:t>
            </w:r>
          </w:p>
        </w:tc>
      </w:tr>
      <w:tr>
        <w:trPr>
          <w:cantSplit/>
        </w:trPr>
        <w:tc>
          <w:tcPr>
            <w:tcW w:type="dxa" w:w="288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Manual evidence index</w:t>
            </w:r>
          </w:p>
        </w:tc>
        <w:tc>
          <w:tcPr>
            <w:tcW w:type="dxa" w:w="6983"/>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SYN-EVIDX-0042-01</w:t>
            </w:r>
          </w:p>
        </w:tc>
      </w:tr>
    </w:tbl>
    <w:p>
      <w:pPr>
        <w:widowControl/>
        <w:spacing w:after="20"/>
      </w:pPr>
    </w:p>
    <w:p>
      <w:pPr>
        <w:keepNext w:val="0"/>
        <w:keepLines w:val="0"/>
        <w:widowControl/>
        <w:spacing w:before="0" w:after="100" w:line="252" w:lineRule="auto"/>
      </w:pPr>
      <w:r>
        <w:rPr>
          <w:rFonts w:ascii="Liberation Sans" w:hAnsi="Liberation Sans"/>
          <w:b w:val="0"/>
          <w:i w:val="0"/>
          <w:color w:val="25313B"/>
          <w:sz w:val="18"/>
        </w:rPr>
        <w:t>Credit Officer A approved the synthetic $8.5 million facility for a synthetic 24-month term, accepted two analyst-confirmed policy exceptions, and imposed monthly borrowing-base certificates and quarterly customer-concentration reporting. The AI did not approve the facility or set pricing, terms, or risk classification.</w:t>
      </w:r>
    </w:p>
    <w:p>
      <w:pPr>
        <w:pStyle w:val="Heading2"/>
        <w:keepNext/>
        <w:keepLines/>
        <w:widowControl/>
      </w:pPr>
      <w:r>
        <w:rPr>
          <w:rFonts w:ascii="Liberation Sans" w:hAnsi="Liberation Sans"/>
          <w:b/>
          <w:color w:val="17324D"/>
          <w:sz w:val="26"/>
        </w:rPr>
        <w:t>Original and edited artifacts</w:t>
      </w:r>
    </w:p>
    <w:tbl>
      <w:tblPr>
        <w:tblW w:type="auto" w:w="0"/>
        <w:jc w:val="center"/>
        <w:tblLayout w:type="fixed"/>
        <w:tblLook w:firstColumn="1" w:firstRow="1" w:lastColumn="0" w:lastRow="0" w:noHBand="0" w:noVBand="1" w:val="04A0"/>
      </w:tblPr>
      <w:tblGrid>
        <w:gridCol w:w="10166"/>
      </w:tblGrid>
      <w:tr>
        <w:tc>
          <w:tcPr>
            <w:tcW w:type="dxa" w:w="10008"/>
            <w:shd w:fill="F4F7F9"/>
            <w:tcMar>
              <w:top w:w="120" w:type="dxa"/>
              <w:start w:w="150" w:type="dxa"/>
              <w:bottom w:w="120" w:type="dxa"/>
              <w:end w:w="150" w:type="dxa"/>
            </w:tcMar>
            <w:vAlign w:val="center"/>
            <w:tcBorders>
              <w:top w:val="single" w:sz="8" w:color="9B6A19"/>
              <w:left w:val="single" w:sz="8" w:color="9B6A19"/>
              <w:bottom w:val="single" w:sz="8" w:color="9B6A19"/>
              <w:right w:val="single" w:sz="8" w:color="9B6A19"/>
            </w:tcBorders>
          </w:tcPr>
          <w:p>
            <w:pPr>
              <w:keepNext/>
              <w:keepLines/>
              <w:widowControl/>
              <w:spacing w:before="0" w:after="60" w:line="252" w:lineRule="auto"/>
            </w:pPr>
            <w:r>
              <w:rPr>
                <w:rFonts w:ascii="Liberation Sans" w:hAnsi="Liberation Sans"/>
                <w:b/>
                <w:color w:val="17324D"/>
                <w:sz w:val="20"/>
              </w:rPr>
              <w:t>Original AI output — SYN-OUT-0042-V0</w:t>
            </w:r>
          </w:p>
          <w:p>
            <w:pPr>
              <w:keepNext w:val="0"/>
              <w:keepLines/>
              <w:widowControl/>
              <w:spacing w:before="0" w:after="0" w:line="252" w:lineRule="auto"/>
            </w:pPr>
            <w:r>
              <w:rPr>
                <w:rFonts w:ascii="Liberation Sans" w:hAnsi="Liberation Sans"/>
                <w:color w:val="25313B"/>
                <w:sz w:val="18"/>
              </w:rPr>
              <w:t>Example Borrower LLC (fictional) requests renewal and increase of its revolving facility from $6.0 million (synthetic) to $8.5 million (synthetic) for 24 months (synthetic). Adjusted debt to EBITDA is 3.61x (synthetic), above the 3.50x (synthetic) guideline. Largest-customer concentration is 28% (synthetic), above the 25% (synthetic) threshold. Both exceptions require Credit Committee approval. No material litigation was identified.</w:t>
            </w:r>
          </w:p>
        </w:tc>
      </w:tr>
    </w:tbl>
    <w:tbl>
      <w:tblPr>
        <w:tblW w:type="auto" w:w="0"/>
        <w:jc w:val="center"/>
        <w:tblLayout w:type="fixed"/>
        <w:tblLook w:firstColumn="1" w:firstRow="1" w:lastColumn="0" w:lastRow="0" w:noHBand="0" w:noVBand="1" w:val="04A0"/>
      </w:tblPr>
      <w:tblGrid>
        <w:gridCol w:w="10166"/>
      </w:tblGrid>
      <w:tr>
        <w:tc>
          <w:tcPr>
            <w:tcW w:type="dxa" w:w="10008"/>
            <w:shd w:fill="DCEFED"/>
            <w:tcMar>
              <w:top w:w="120" w:type="dxa"/>
              <w:start w:w="150" w:type="dxa"/>
              <w:bottom w:w="120" w:type="dxa"/>
              <w:end w:w="150" w:type="dxa"/>
            </w:tcMar>
            <w:vAlign w:val="center"/>
            <w:tcBorders>
              <w:top w:val="single" w:sz="8" w:color="287D7A"/>
              <w:left w:val="single" w:sz="8" w:color="287D7A"/>
              <w:bottom w:val="single" w:sz="8" w:color="287D7A"/>
              <w:right w:val="single" w:sz="8" w:color="287D7A"/>
            </w:tcBorders>
          </w:tcPr>
          <w:p>
            <w:pPr>
              <w:keepNext/>
              <w:keepLines/>
              <w:widowControl/>
              <w:spacing w:before="0" w:after="60" w:line="252" w:lineRule="auto"/>
            </w:pPr>
            <w:r>
              <w:rPr>
                <w:rFonts w:ascii="Liberation Sans" w:hAnsi="Liberation Sans"/>
                <w:b/>
                <w:color w:val="17324D"/>
                <w:sz w:val="20"/>
              </w:rPr>
              <w:t>Final analyst memorandum — SYN-MEMO-0042-V2</w:t>
            </w:r>
          </w:p>
          <w:p>
            <w:pPr>
              <w:keepNext w:val="0"/>
              <w:keepLines/>
              <w:widowControl/>
              <w:spacing w:before="0" w:after="0" w:line="252" w:lineRule="auto"/>
            </w:pPr>
            <w:r>
              <w:rPr>
                <w:rFonts w:ascii="Liberation Sans" w:hAnsi="Liberation Sans"/>
                <w:color w:val="25313B"/>
                <w:sz w:val="18"/>
              </w:rPr>
              <w:t>Example Borrower LLC (fictional) requests renewal and increase of its revolving facility from $6.0 million (synthetic) to $8.5 million (synthetic) for 24 months (synthetic). Adjusted debt to EBITDA is 3.61x (synthetic), above the 3.50x (synthetic) guideline. Largest-customer concentration is 31% (synthetic), based on the dated receivables concentration report, above the 25% (synthetic) threshold. The leverage and concentration items are analyst-confirmed policy exceptions. Analyst recommendation: if approved by an authorized credit officer, condition the facility on monthly borrowing-base certificates and quarterly customer-concentration reporting. All pricing, terms, risk classification, exception acceptance, and approval decisions are human-originated and human-approved.</w:t>
            </w:r>
          </w:p>
        </w:tc>
      </w:tr>
    </w:tbl>
    <w:p>
      <w:pPr>
        <w:pStyle w:val="Heading2"/>
        <w:keepNext/>
        <w:keepLines/>
        <w:widowControl/>
      </w:pPr>
      <w:r>
        <w:rPr>
          <w:rFonts w:ascii="Liberation Sans" w:hAnsi="Liberation Sans"/>
          <w:b/>
          <w:color w:val="17324D"/>
          <w:sz w:val="26"/>
        </w:rPr>
        <w:t>Reconstructed edit lineage</w:t>
      </w:r>
    </w:p>
    <w:tbl>
      <w:tblPr>
        <w:tblStyle w:val="TableGrid"/>
        <w:tblW w:type="auto" w:w="0"/>
        <w:jc w:val="center"/>
        <w:tblLayout w:type="fixed"/>
        <w:tblLook w:firstColumn="1" w:firstRow="1" w:lastColumn="0" w:lastRow="0" w:noHBand="0" w:noVBand="1" w:val="04A0"/>
      </w:tblPr>
      <w:tblGrid>
        <w:gridCol w:w="2541"/>
        <w:gridCol w:w="2541"/>
        <w:gridCol w:w="2541"/>
        <w:gridCol w:w="2541"/>
      </w:tblGrid>
      <w:tr>
        <w:trPr>
          <w:tblHeader w:val="true"/>
          <w:cantSplit/>
        </w:trPr>
        <w:tc>
          <w:tcPr>
            <w:tcW w:type="dxa" w:w="1655"/>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4"/>
              </w:rPr>
              <w:t>Edit</w:t>
            </w:r>
          </w:p>
        </w:tc>
        <w:tc>
          <w:tcPr>
            <w:tcW w:type="dxa" w:w="2880"/>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4"/>
              </w:rPr>
              <w:t>Original condition</w:t>
            </w:r>
          </w:p>
        </w:tc>
        <w:tc>
          <w:tcPr>
            <w:tcW w:type="dxa" w:w="3311"/>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4"/>
              </w:rPr>
              <w:t>Analyst treatment</w:t>
            </w:r>
          </w:p>
        </w:tc>
        <w:tc>
          <w:tcPr>
            <w:tcW w:type="dxa" w:w="2015"/>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4"/>
              </w:rPr>
              <w:t>Evidence</w:t>
            </w:r>
          </w:p>
        </w:tc>
      </w:tr>
      <w:tr>
        <w:trPr>
          <w:cantSplit/>
        </w:trPr>
        <w:tc>
          <w:tcPr>
            <w:tcW w:type="dxa" w:w="1655"/>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Customer concentration</w:t>
            </w:r>
          </w:p>
        </w:tc>
        <w:tc>
          <w:tcPr>
            <w:tcW w:type="dxa" w:w="288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28% older narrative value</w:t>
            </w:r>
          </w:p>
        </w:tc>
        <w:tc>
          <w:tcPr>
            <w:tcW w:type="dxa" w:w="3311"/>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Corrected to 31% dated source value</w:t>
            </w:r>
          </w:p>
        </w:tc>
        <w:tc>
          <w:tcPr>
            <w:tcW w:type="dxa" w:w="2015"/>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Reviewer diff and input snapshot</w:t>
            </w:r>
          </w:p>
        </w:tc>
      </w:tr>
      <w:tr>
        <w:trPr>
          <w:cantSplit/>
        </w:trPr>
        <w:tc>
          <w:tcPr>
            <w:tcW w:type="dxa" w:w="1655"/>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Approval authority</w:t>
            </w:r>
          </w:p>
        </w:tc>
        <w:tc>
          <w:tcPr>
            <w:tcW w:type="dxa" w:w="288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AI stated both exceptions required Credit Committee approval</w:t>
            </w:r>
          </w:p>
        </w:tc>
        <w:tc>
          <w:tcPr>
            <w:tcW w:type="dxa" w:w="3311"/>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Replaced with policy-supported delegated-authority formulation</w:t>
            </w:r>
          </w:p>
        </w:tc>
        <w:tc>
          <w:tcPr>
            <w:tcW w:type="dxa" w:w="2015"/>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Reviewer diff and policy citations</w:t>
            </w:r>
          </w:p>
        </w:tc>
      </w:tr>
      <w:tr>
        <w:trPr>
          <w:cantSplit/>
        </w:trPr>
        <w:tc>
          <w:tcPr>
            <w:tcW w:type="dxa" w:w="1655"/>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Litigation assertion</w:t>
            </w:r>
          </w:p>
        </w:tc>
        <w:tc>
          <w:tcPr>
            <w:tcW w:type="dxa" w:w="288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Unsupported statement included</w:t>
            </w:r>
          </w:p>
        </w:tc>
        <w:tc>
          <w:tcPr>
            <w:tcW w:type="dxa" w:w="3311"/>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Removed</w:t>
            </w:r>
          </w:p>
        </w:tc>
        <w:tc>
          <w:tcPr>
            <w:tcW w:type="dxa" w:w="2015"/>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Reviewer diff</w:t>
            </w:r>
          </w:p>
        </w:tc>
      </w:tr>
      <w:tr>
        <w:trPr>
          <w:cantSplit/>
        </w:trPr>
        <w:tc>
          <w:tcPr>
            <w:tcW w:type="dxa" w:w="1655"/>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Possible exceptions</w:t>
            </w:r>
          </w:p>
        </w:tc>
        <w:tc>
          <w:tcPr>
            <w:tcW w:type="dxa" w:w="288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AI identification only</w:t>
            </w:r>
          </w:p>
        </w:tc>
        <w:tc>
          <w:tcPr>
            <w:tcW w:type="dxa" w:w="3311"/>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Analyst independently confirmed both</w:t>
            </w:r>
          </w:p>
        </w:tc>
        <w:tc>
          <w:tcPr>
            <w:tcW w:type="dxa" w:w="2015"/>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Final memo and exception records</w:t>
            </w:r>
          </w:p>
        </w:tc>
      </w:tr>
      <w:tr>
        <w:trPr>
          <w:cantSplit/>
        </w:trPr>
        <w:tc>
          <w:tcPr>
            <w:tcW w:type="dxa" w:w="1655"/>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Monitoring conditions</w:t>
            </w:r>
          </w:p>
        </w:tc>
        <w:tc>
          <w:tcPr>
            <w:tcW w:type="dxa" w:w="288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Not included</w:t>
            </w:r>
          </w:p>
        </w:tc>
        <w:tc>
          <w:tcPr>
            <w:tcW w:type="dxa" w:w="3311"/>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Added by analyst and adopted by credit officer</w:t>
            </w:r>
          </w:p>
        </w:tc>
        <w:tc>
          <w:tcPr>
            <w:tcW w:type="dxa" w:w="2015"/>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V2 and approval record</w:t>
            </w:r>
          </w:p>
        </w:tc>
      </w:tr>
      <w:tr>
        <w:trPr>
          <w:cantSplit/>
        </w:trPr>
        <w:tc>
          <w:tcPr>
            <w:tcW w:type="dxa" w:w="1655"/>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Decision ownership</w:t>
            </w:r>
          </w:p>
        </w:tc>
        <w:tc>
          <w:tcPr>
            <w:tcW w:type="dxa" w:w="288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Could be read as authoritative</w:t>
            </w:r>
          </w:p>
        </w:tc>
        <w:tc>
          <w:tcPr>
            <w:tcW w:type="dxa" w:w="3311"/>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Reserved decision fields to human personnel</w:t>
            </w:r>
          </w:p>
        </w:tc>
        <w:tc>
          <w:tcPr>
            <w:tcW w:type="dxa" w:w="2015"/>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V2</w:t>
            </w:r>
          </w:p>
        </w:tc>
      </w:tr>
    </w:tbl>
    <w:p>
      <w:pPr>
        <w:widowControl/>
        <w:spacing w:after="20"/>
      </w:pPr>
    </w:p>
    <w:p>
      <w:pPr>
        <w:pStyle w:val="Heading2"/>
        <w:keepNext/>
        <w:keepLines/>
        <w:widowControl/>
      </w:pPr>
      <w:r>
        <w:rPr>
          <w:rFonts w:ascii="Liberation Sans" w:hAnsi="Liberation Sans"/>
          <w:b/>
          <w:color w:val="17324D"/>
          <w:sz w:val="26"/>
        </w:rPr>
        <w:t>Recoverable and unrecoverable evidence</w:t>
      </w:r>
    </w:p>
    <w:tbl>
      <w:tblPr>
        <w:tblStyle w:val="TableGrid"/>
        <w:tblW w:type="auto" w:w="0"/>
        <w:jc w:val="center"/>
        <w:tblLayout w:type="fixed"/>
        <w:tblLook w:firstColumn="1" w:firstRow="1" w:lastColumn="0" w:lastRow="0" w:noHBand="0" w:noVBand="1" w:val="04A0"/>
      </w:tblPr>
      <w:tblGrid>
        <w:gridCol w:w="5083"/>
        <w:gridCol w:w="5083"/>
      </w:tblGrid>
      <w:tr>
        <w:trPr>
          <w:tblHeader w:val="true"/>
          <w:cantSplit/>
        </w:trPr>
        <w:tc>
          <w:tcPr>
            <w:tcW w:type="dxa" w:w="1800"/>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6"/>
              </w:rPr>
              <w:t>Category</w:t>
            </w:r>
          </w:p>
        </w:tc>
        <w:tc>
          <w:tcPr>
            <w:tcW w:type="dxa" w:w="8063"/>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6"/>
              </w:rPr>
              <w:t>Reconstruction result</w:t>
            </w:r>
          </w:p>
        </w:tc>
      </w:tr>
      <w:tr>
        <w:trPr>
          <w:cantSplit/>
        </w:trPr>
        <w:tc>
          <w:tcPr>
            <w:tcW w:type="dxa" w:w="180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Produced</w:t>
            </w:r>
          </w:p>
        </w:tc>
        <w:tc>
          <w:tcPr>
            <w:tcW w:type="dxa" w:w="8063"/>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Request; frozen financial inputs; application and prompt-template versions; model deployment and invocation; corpus and policy versions; original output; analyst identity and edits; exception records; approval; monitoring conditions; booking.</w:t>
            </w:r>
          </w:p>
        </w:tc>
      </w:tr>
      <w:tr>
        <w:trPr>
          <w:cantSplit/>
        </w:trPr>
        <w:tc>
          <w:tcPr>
            <w:tcW w:type="dxa" w:w="180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Not produced</w:t>
            </w:r>
          </w:p>
        </w:tc>
        <w:tc>
          <w:tcPr>
            <w:tcW w:type="dxa" w:w="8063"/>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Exact rendered prompt; exact field ordering; proof of how the 28% and 31% values were presented; exact retrieved chunks and text; chunk IDs; ranking; scores; presentation order; authoritative evidence manifest.</w:t>
            </w:r>
          </w:p>
        </w:tc>
      </w:tr>
      <w:tr>
        <w:trPr>
          <w:cantSplit/>
        </w:trPr>
        <w:tc>
          <w:tcPr>
            <w:tcW w:type="dxa" w:w="180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Not established</w:t>
            </w:r>
          </w:p>
        </w:tc>
        <w:tc>
          <w:tcPr>
            <w:tcW w:type="dxa" w:w="8063"/>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Retention periods, hold treatment, authorized-deletion procedures, and periodic producibility testing.</w:t>
            </w:r>
          </w:p>
        </w:tc>
      </w:tr>
    </w:tbl>
    <w:p>
      <w:pPr>
        <w:widowControl/>
        <w:spacing w:after="20"/>
      </w:pPr>
    </w:p>
    <w:p>
      <w:pPr>
        <w:pStyle w:val="Heading2"/>
        <w:keepNext/>
        <w:keepLines/>
        <w:widowControl/>
      </w:pPr>
      <w:r>
        <w:rPr>
          <w:rFonts w:ascii="Liberation Sans" w:hAnsi="Liberation Sans"/>
          <w:b/>
          <w:color w:val="17324D"/>
          <w:sz w:val="26"/>
        </w:rPr>
        <w:t>Reconstruction effort</w:t>
      </w:r>
    </w:p>
    <w:tbl>
      <w:tblPr>
        <w:tblStyle w:val="TableGrid"/>
        <w:tblW w:type="auto" w:w="0"/>
        <w:jc w:val="center"/>
        <w:tblLayout w:type="fixed"/>
        <w:tblLook w:firstColumn="1" w:firstRow="1" w:lastColumn="0" w:lastRow="0" w:noHBand="0" w:noVBand="1" w:val="04A0"/>
      </w:tblPr>
      <w:tblGrid>
        <w:gridCol w:w="5083"/>
        <w:gridCol w:w="5083"/>
      </w:tblGrid>
      <w:tr>
        <w:trPr>
          <w:tblHeader w:val="true"/>
          <w:cantSplit/>
          <w:cantSplit/>
        </w:trPr>
        <w:tc>
          <w:tcPr>
            <w:tcW w:type="dxa" w:w="7920"/>
            <w:shd w:fill="17324D"/>
            <w:tcMar>
              <w:top w:w="70" w:type="dxa"/>
              <w:start w:w="80" w:type="dxa"/>
              <w:bottom w:w="70" w:type="dxa"/>
              <w:end w:w="80" w:type="dxa"/>
            </w:tcMar>
            <w:vAlign w:val="center"/>
          </w:tcPr>
          <w:p>
            <w:pPr>
              <w:keepNext/>
              <w:keepLines/>
              <w:widowControl/>
              <w:spacing w:before="0" w:after="0" w:line="252" w:lineRule="auto"/>
              <w:jc w:val="left"/>
            </w:pPr>
            <w:r>
              <w:rPr>
                <w:rFonts w:ascii="Liberation Sans" w:hAnsi="Liberation Sans"/>
                <w:b/>
                <w:color w:val="FFFFFF"/>
                <w:sz w:val="16"/>
              </w:rPr>
              <w:t>Activity</w:t>
            </w:r>
          </w:p>
        </w:tc>
        <w:tc>
          <w:tcPr>
            <w:tcW w:type="dxa" w:w="1944"/>
            <w:shd w:fill="17324D"/>
            <w:tcMar>
              <w:top w:w="70" w:type="dxa"/>
              <w:start w:w="80" w:type="dxa"/>
              <w:bottom w:w="70" w:type="dxa"/>
              <w:end w:w="80" w:type="dxa"/>
            </w:tcMar>
            <w:vAlign w:val="center"/>
          </w:tcPr>
          <w:p>
            <w:pPr>
              <w:keepNext/>
              <w:keepLines/>
              <w:widowControl/>
              <w:spacing w:before="0" w:after="0" w:line="252" w:lineRule="auto"/>
              <w:jc w:val="left"/>
            </w:pPr>
            <w:r>
              <w:rPr>
                <w:rFonts w:ascii="Liberation Sans" w:hAnsi="Liberation Sans"/>
                <w:b/>
                <w:color w:val="FFFFFF"/>
                <w:sz w:val="16"/>
              </w:rPr>
              <w:t>Synthetic effort</w:t>
            </w:r>
          </w:p>
        </w:tc>
      </w:tr>
      <w:tr>
        <w:trPr>
          <w:cantSplit/>
          <w:cantSplit/>
        </w:trPr>
        <w:tc>
          <w:tcPr>
            <w:tcW w:type="dxa" w:w="7920"/>
            <w:tcMar>
              <w:top w:w="70" w:type="dxa"/>
              <w:start w:w="80" w:type="dxa"/>
              <w:bottom w:w="70" w:type="dxa"/>
              <w:end w:w="80" w:type="dxa"/>
            </w:tcMar>
            <w:vAlign w:val="top"/>
            <w:shd w:fill="F7F9FA"/>
          </w:tcPr>
          <w:p>
            <w:pPr>
              <w:keepNext/>
              <w:keepLines/>
              <w:widowControl/>
              <w:spacing w:before="0" w:after="0" w:line="240" w:lineRule="auto"/>
            </w:pPr>
            <w:r>
              <w:rPr>
                <w:rFonts w:ascii="Liberation Sans" w:hAnsi="Liberation Sans"/>
                <w:b w:val="0"/>
                <w:color w:val="25313B"/>
                <w:sz w:val="16"/>
              </w:rPr>
              <w:t>Locate origination and final credit-file records</w:t>
            </w:r>
          </w:p>
        </w:tc>
        <w:tc>
          <w:tcPr>
            <w:tcW w:type="dxa" w:w="1944"/>
            <w:tcMar>
              <w:top w:w="70" w:type="dxa"/>
              <w:start w:w="80" w:type="dxa"/>
              <w:bottom w:w="70" w:type="dxa"/>
              <w:end w:w="80" w:type="dxa"/>
            </w:tcMar>
            <w:vAlign w:val="top"/>
            <w:shd w:fill="F7F9FA"/>
          </w:tcPr>
          <w:p>
            <w:pPr>
              <w:keepNext/>
              <w:keepLines/>
              <w:widowControl/>
              <w:spacing w:before="0" w:after="0" w:line="240" w:lineRule="auto"/>
            </w:pPr>
            <w:r>
              <w:rPr>
                <w:rFonts w:ascii="Liberation Sans" w:hAnsi="Liberation Sans"/>
                <w:b w:val="0"/>
                <w:color w:val="25313B"/>
                <w:sz w:val="16"/>
              </w:rPr>
              <w:t>55 minutes</w:t>
            </w:r>
          </w:p>
        </w:tc>
      </w:tr>
      <w:tr>
        <w:trPr>
          <w:cantSplit/>
          <w:cantSplit/>
        </w:trPr>
        <w:tc>
          <w:tcPr>
            <w:tcW w:type="dxa" w:w="7920"/>
            <w:tcMar>
              <w:top w:w="70" w:type="dxa"/>
              <w:start w:w="80" w:type="dxa"/>
              <w:bottom w:w="70" w:type="dxa"/>
              <w:end w:w="80" w:type="dxa"/>
            </w:tcMar>
            <w:vAlign w:val="top"/>
          </w:tcPr>
          <w:p>
            <w:pPr>
              <w:keepNext/>
              <w:keepLines/>
              <w:widowControl/>
              <w:spacing w:before="0" w:after="0" w:line="240" w:lineRule="auto"/>
            </w:pPr>
            <w:r>
              <w:rPr>
                <w:rFonts w:ascii="Liberation Sans" w:hAnsi="Liberation Sans"/>
                <w:b w:val="0"/>
                <w:color w:val="25313B"/>
                <w:sz w:val="16"/>
              </w:rPr>
              <w:t>Export and verify input snapshots</w:t>
            </w:r>
          </w:p>
        </w:tc>
        <w:tc>
          <w:tcPr>
            <w:tcW w:type="dxa" w:w="1944"/>
            <w:tcMar>
              <w:top w:w="70" w:type="dxa"/>
              <w:start w:w="80" w:type="dxa"/>
              <w:bottom w:w="70" w:type="dxa"/>
              <w:end w:w="80" w:type="dxa"/>
            </w:tcMar>
            <w:vAlign w:val="top"/>
          </w:tcPr>
          <w:p>
            <w:pPr>
              <w:keepNext/>
              <w:keepLines/>
              <w:widowControl/>
              <w:spacing w:before="0" w:after="0" w:line="240" w:lineRule="auto"/>
            </w:pPr>
            <w:r>
              <w:rPr>
                <w:rFonts w:ascii="Liberation Sans" w:hAnsi="Liberation Sans"/>
                <w:b w:val="0"/>
                <w:color w:val="25313B"/>
                <w:sz w:val="16"/>
              </w:rPr>
              <w:t>1 hour 10 minutes</w:t>
            </w:r>
          </w:p>
        </w:tc>
      </w:tr>
      <w:tr>
        <w:trPr>
          <w:cantSplit/>
          <w:cantSplit/>
        </w:trPr>
        <w:tc>
          <w:tcPr>
            <w:tcW w:type="dxa" w:w="7920"/>
            <w:tcMar>
              <w:top w:w="70" w:type="dxa"/>
              <w:start w:w="80" w:type="dxa"/>
              <w:bottom w:w="70" w:type="dxa"/>
              <w:end w:w="80" w:type="dxa"/>
            </w:tcMar>
            <w:vAlign w:val="top"/>
            <w:shd w:fill="F7F9FA"/>
          </w:tcPr>
          <w:p>
            <w:pPr>
              <w:keepNext/>
              <w:keepLines/>
              <w:widowControl/>
              <w:spacing w:before="0" w:after="0" w:line="240" w:lineRule="auto"/>
            </w:pPr>
            <w:r>
              <w:rPr>
                <w:rFonts w:ascii="Liberation Sans" w:hAnsi="Liberation Sans"/>
                <w:b w:val="0"/>
                <w:color w:val="25313B"/>
                <w:sz w:val="16"/>
              </w:rPr>
              <w:t>Retrieve invocation and original output</w:t>
            </w:r>
          </w:p>
        </w:tc>
        <w:tc>
          <w:tcPr>
            <w:tcW w:type="dxa" w:w="1944"/>
            <w:tcMar>
              <w:top w:w="70" w:type="dxa"/>
              <w:start w:w="80" w:type="dxa"/>
              <w:bottom w:w="70" w:type="dxa"/>
              <w:end w:w="80" w:type="dxa"/>
            </w:tcMar>
            <w:vAlign w:val="top"/>
            <w:shd w:fill="F7F9FA"/>
          </w:tcPr>
          <w:p>
            <w:pPr>
              <w:keepNext/>
              <w:keepLines/>
              <w:widowControl/>
              <w:spacing w:before="0" w:after="0" w:line="240" w:lineRule="auto"/>
            </w:pPr>
            <w:r>
              <w:rPr>
                <w:rFonts w:ascii="Liberation Sans" w:hAnsi="Liberation Sans"/>
                <w:b w:val="0"/>
                <w:color w:val="25313B"/>
                <w:sz w:val="16"/>
              </w:rPr>
              <w:t>1 hour 5 minutes</w:t>
            </w:r>
          </w:p>
        </w:tc>
      </w:tr>
      <w:tr>
        <w:trPr>
          <w:cantSplit/>
          <w:cantSplit/>
        </w:trPr>
        <w:tc>
          <w:tcPr>
            <w:tcW w:type="dxa" w:w="7920"/>
            <w:tcMar>
              <w:top w:w="70" w:type="dxa"/>
              <w:start w:w="80" w:type="dxa"/>
              <w:bottom w:w="70" w:type="dxa"/>
              <w:end w:w="80" w:type="dxa"/>
            </w:tcMar>
            <w:vAlign w:val="top"/>
          </w:tcPr>
          <w:p>
            <w:pPr>
              <w:keepNext/>
              <w:keepLines/>
              <w:widowControl/>
              <w:spacing w:before="0" w:after="0" w:line="240" w:lineRule="auto"/>
            </w:pPr>
            <w:r>
              <w:rPr>
                <w:rFonts w:ascii="Liberation Sans" w:hAnsi="Liberation Sans"/>
                <w:b w:val="0"/>
                <w:color w:val="25313B"/>
                <w:sz w:val="16"/>
              </w:rPr>
              <w:t>Correlate review and edit records</w:t>
            </w:r>
          </w:p>
        </w:tc>
        <w:tc>
          <w:tcPr>
            <w:tcW w:type="dxa" w:w="1944"/>
            <w:tcMar>
              <w:top w:w="70" w:type="dxa"/>
              <w:start w:w="80" w:type="dxa"/>
              <w:bottom w:w="70" w:type="dxa"/>
              <w:end w:w="80" w:type="dxa"/>
            </w:tcMar>
            <w:vAlign w:val="top"/>
          </w:tcPr>
          <w:p>
            <w:pPr>
              <w:keepNext/>
              <w:keepLines/>
              <w:widowControl/>
              <w:spacing w:before="0" w:after="0" w:line="240" w:lineRule="auto"/>
            </w:pPr>
            <w:r>
              <w:rPr>
                <w:rFonts w:ascii="Liberation Sans" w:hAnsi="Liberation Sans"/>
                <w:b w:val="0"/>
                <w:color w:val="25313B"/>
                <w:sz w:val="16"/>
              </w:rPr>
              <w:t>1 hour 20 minutes</w:t>
            </w:r>
          </w:p>
        </w:tc>
      </w:tr>
      <w:tr>
        <w:trPr>
          <w:cantSplit/>
          <w:cantSplit/>
        </w:trPr>
        <w:tc>
          <w:tcPr>
            <w:tcW w:type="dxa" w:w="7920"/>
            <w:tcMar>
              <w:top w:w="70" w:type="dxa"/>
              <w:start w:w="80" w:type="dxa"/>
              <w:bottom w:w="70" w:type="dxa"/>
              <w:end w:w="80" w:type="dxa"/>
            </w:tcMar>
            <w:vAlign w:val="top"/>
            <w:shd w:fill="F7F9FA"/>
          </w:tcPr>
          <w:p>
            <w:pPr>
              <w:keepNext/>
              <w:keepLines/>
              <w:widowControl/>
              <w:spacing w:before="0" w:after="0" w:line="240" w:lineRule="auto"/>
            </w:pPr>
            <w:r>
              <w:rPr>
                <w:rFonts w:ascii="Liberation Sans" w:hAnsi="Liberation Sans"/>
                <w:b w:val="0"/>
                <w:color w:val="25313B"/>
                <w:sz w:val="16"/>
              </w:rPr>
              <w:t>Recover policy versions and corpus metadata</w:t>
            </w:r>
          </w:p>
        </w:tc>
        <w:tc>
          <w:tcPr>
            <w:tcW w:type="dxa" w:w="1944"/>
            <w:tcMar>
              <w:top w:w="70" w:type="dxa"/>
              <w:start w:w="80" w:type="dxa"/>
              <w:bottom w:w="70" w:type="dxa"/>
              <w:end w:w="80" w:type="dxa"/>
            </w:tcMar>
            <w:vAlign w:val="top"/>
            <w:shd w:fill="F7F9FA"/>
          </w:tcPr>
          <w:p>
            <w:pPr>
              <w:keepNext/>
              <w:keepLines/>
              <w:widowControl/>
              <w:spacing w:before="0" w:after="0" w:line="240" w:lineRule="auto"/>
            </w:pPr>
            <w:r>
              <w:rPr>
                <w:rFonts w:ascii="Liberation Sans" w:hAnsi="Liberation Sans"/>
                <w:b w:val="0"/>
                <w:color w:val="25313B"/>
                <w:sz w:val="16"/>
              </w:rPr>
              <w:t>1 hour 25 minutes</w:t>
            </w:r>
          </w:p>
        </w:tc>
      </w:tr>
      <w:tr>
        <w:trPr>
          <w:cantSplit/>
          <w:cantSplit/>
        </w:trPr>
        <w:tc>
          <w:tcPr>
            <w:tcW w:type="dxa" w:w="7920"/>
            <w:tcMar>
              <w:top w:w="70" w:type="dxa"/>
              <w:start w:w="80" w:type="dxa"/>
              <w:bottom w:w="70" w:type="dxa"/>
              <w:end w:w="80" w:type="dxa"/>
            </w:tcMar>
            <w:vAlign w:val="top"/>
          </w:tcPr>
          <w:p>
            <w:pPr>
              <w:keepNext/>
              <w:keepLines/>
              <w:widowControl/>
              <w:spacing w:before="0" w:after="0" w:line="240" w:lineRule="auto"/>
            </w:pPr>
            <w:r>
              <w:rPr>
                <w:rFonts w:ascii="Liberation Sans" w:hAnsi="Liberation Sans"/>
                <w:b w:val="0"/>
                <w:color w:val="25313B"/>
                <w:sz w:val="16"/>
              </w:rPr>
              <w:t>Resolve identifiers and assumptions</w:t>
            </w:r>
          </w:p>
        </w:tc>
        <w:tc>
          <w:tcPr>
            <w:tcW w:type="dxa" w:w="1944"/>
            <w:tcMar>
              <w:top w:w="70" w:type="dxa"/>
              <w:start w:w="80" w:type="dxa"/>
              <w:bottom w:w="70" w:type="dxa"/>
              <w:end w:w="80" w:type="dxa"/>
            </w:tcMar>
            <w:vAlign w:val="top"/>
          </w:tcPr>
          <w:p>
            <w:pPr>
              <w:keepNext/>
              <w:keepLines/>
              <w:widowControl/>
              <w:spacing w:before="0" w:after="0" w:line="240" w:lineRule="auto"/>
            </w:pPr>
            <w:r>
              <w:rPr>
                <w:rFonts w:ascii="Liberation Sans" w:hAnsi="Liberation Sans"/>
                <w:b w:val="0"/>
                <w:color w:val="25313B"/>
                <w:sz w:val="16"/>
              </w:rPr>
              <w:t>55 minutes</w:t>
            </w:r>
          </w:p>
        </w:tc>
      </w:tr>
      <w:tr>
        <w:trPr>
          <w:cantSplit/>
          <w:cantSplit/>
        </w:trPr>
        <w:tc>
          <w:tcPr>
            <w:tcW w:type="dxa" w:w="792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Assemble manual evidence index</w:t>
            </w:r>
          </w:p>
        </w:tc>
        <w:tc>
          <w:tcPr>
            <w:tcW w:type="dxa" w:w="1944"/>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45 minutes</w:t>
            </w:r>
          </w:p>
        </w:tc>
      </w:tr>
    </w:tbl>
    <w:p>
      <w:pPr>
        <w:widowControl/>
        <w:spacing w:after="20"/>
      </w:pPr>
    </w:p>
    <w:p>
      <w:pPr>
        <w:keepNext w:val="0"/>
        <w:keepLines w:val="0"/>
        <w:widowControl/>
        <w:spacing w:before="0" w:after="100" w:line="252" w:lineRule="auto"/>
      </w:pPr>
      <w:r>
        <w:rPr>
          <w:rFonts w:ascii="Liberation Sans" w:hAnsi="Liberation Sans"/>
          <w:b/>
          <w:i w:val="0"/>
          <w:color w:val="17324D"/>
          <w:sz w:val="18"/>
        </w:rPr>
        <w:t>Total: 7 hours 35 minutes over three synthetic business days.</w:t>
      </w:r>
    </w:p>
    <w:p>
      <w:pPr>
        <w:pStyle w:val="Heading2"/>
        <w:keepNext/>
        <w:keepLines/>
        <w:widowControl/>
      </w:pPr>
      <w:r>
        <w:rPr>
          <w:rFonts w:ascii="Liberation Sans" w:hAnsi="Liberation Sans"/>
          <w:b/>
          <w:color w:val="17324D"/>
          <w:sz w:val="26"/>
        </w:rPr>
        <w:t>Eight-element result</w:t>
      </w:r>
    </w:p>
    <w:tbl>
      <w:tblPr>
        <w:tblStyle w:val="TableGrid"/>
        <w:tblW w:type="auto" w:w="0"/>
        <w:jc w:val="center"/>
        <w:tblLayout w:type="fixed"/>
        <w:tblLook w:firstColumn="1" w:firstRow="1" w:lastColumn="0" w:lastRow="0" w:noHBand="0" w:noVBand="1" w:val="04A0"/>
      </w:tblPr>
      <w:tblGrid>
        <w:gridCol w:w="2541"/>
        <w:gridCol w:w="2541"/>
        <w:gridCol w:w="2541"/>
        <w:gridCol w:w="2541"/>
      </w:tblGrid>
      <w:tr>
        <w:trPr>
          <w:tblHeader w:val="true"/>
          <w:cantSplit/>
        </w:trPr>
        <w:tc>
          <w:tcPr>
            <w:tcW w:type="dxa" w:w="936"/>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ID</w:t>
            </w:r>
          </w:p>
        </w:tc>
        <w:tc>
          <w:tcPr>
            <w:tcW w:type="dxa" w:w="2160"/>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Element</w:t>
            </w:r>
          </w:p>
        </w:tc>
        <w:tc>
          <w:tcPr>
            <w:tcW w:type="dxa" w:w="5760"/>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Result</w:t>
            </w:r>
          </w:p>
        </w:tc>
        <w:tc>
          <w:tcPr>
            <w:tcW w:type="dxa" w:w="1007"/>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Status</w:t>
            </w:r>
          </w:p>
        </w:tc>
      </w:tr>
      <w:tr>
        <w:trPr>
          <w:cantSplit/>
        </w:trPr>
        <w:tc>
          <w:tcPr>
            <w:tcW w:type="dxa" w:w="93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EV-01</w:t>
            </w:r>
          </w:p>
        </w:tc>
        <w:tc>
          <w:tcPr>
            <w:tcW w:type="dxa" w:w="216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Model version</w:t>
            </w:r>
          </w:p>
        </w:tc>
        <w:tc>
          <w:tcPr>
            <w:tcW w:type="dxa" w:w="576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Invocation, provider code, revision, deployment, configuration</w:t>
            </w:r>
          </w:p>
        </w:tc>
        <w:tc>
          <w:tcPr>
            <w:tcW w:type="dxa" w:w="1007"/>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Present</w:t>
            </w:r>
          </w:p>
        </w:tc>
      </w:tr>
      <w:tr>
        <w:trPr>
          <w:cantSplit/>
        </w:trPr>
        <w:tc>
          <w:tcPr>
            <w:tcW w:type="dxa" w:w="93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EV-02</w:t>
            </w:r>
          </w:p>
        </w:tc>
        <w:tc>
          <w:tcPr>
            <w:tcW w:type="dxa" w:w="216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Prompt / system instruction</w:t>
            </w:r>
          </w:p>
        </w:tc>
        <w:tc>
          <w:tcPr>
            <w:tcW w:type="dxa" w:w="576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Template retained; exact rendered prompt absent</w:t>
            </w:r>
          </w:p>
        </w:tc>
        <w:tc>
          <w:tcPr>
            <w:tcW w:type="dxa" w:w="1007"/>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Partial</w:t>
            </w:r>
          </w:p>
        </w:tc>
      </w:tr>
      <w:tr>
        <w:trPr>
          <w:cantSplit/>
        </w:trPr>
        <w:tc>
          <w:tcPr>
            <w:tcW w:type="dxa" w:w="93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EV-03</w:t>
            </w:r>
          </w:p>
        </w:tc>
        <w:tc>
          <w:tcPr>
            <w:tcW w:type="dxa" w:w="216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Input data</w:t>
            </w:r>
          </w:p>
        </w:tc>
        <w:tc>
          <w:tcPr>
            <w:tcW w:type="dxa" w:w="576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Frozen structured snapshot and narrative</w:t>
            </w:r>
          </w:p>
        </w:tc>
        <w:tc>
          <w:tcPr>
            <w:tcW w:type="dxa" w:w="1007"/>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Present</w:t>
            </w:r>
          </w:p>
        </w:tc>
      </w:tr>
      <w:tr>
        <w:trPr>
          <w:cantSplit/>
        </w:trPr>
        <w:tc>
          <w:tcPr>
            <w:tcW w:type="dxa" w:w="93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EV-04</w:t>
            </w:r>
          </w:p>
        </w:tc>
        <w:tc>
          <w:tcPr>
            <w:tcW w:type="dxa" w:w="216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Retrieved sources</w:t>
            </w:r>
          </w:p>
        </w:tc>
        <w:tc>
          <w:tcPr>
            <w:tcW w:type="dxa" w:w="576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Corpus and policy versions retained; chunk trace absent</w:t>
            </w:r>
          </w:p>
        </w:tc>
        <w:tc>
          <w:tcPr>
            <w:tcW w:type="dxa" w:w="1007"/>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Partial</w:t>
            </w:r>
          </w:p>
        </w:tc>
      </w:tr>
      <w:tr>
        <w:trPr>
          <w:cantSplit/>
        </w:trPr>
        <w:tc>
          <w:tcPr>
            <w:tcW w:type="dxa" w:w="93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EV-05</w:t>
            </w:r>
          </w:p>
        </w:tc>
        <w:tc>
          <w:tcPr>
            <w:tcW w:type="dxa" w:w="216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Original output</w:t>
            </w:r>
          </w:p>
        </w:tc>
        <w:tc>
          <w:tcPr>
            <w:tcW w:type="dxa" w:w="576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Complete unedited model response, timestamp, and invocation link were produced.</w:t>
            </w:r>
          </w:p>
        </w:tc>
        <w:tc>
          <w:tcPr>
            <w:tcW w:type="dxa" w:w="1007"/>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Present</w:t>
            </w:r>
          </w:p>
        </w:tc>
      </w:tr>
      <w:tr>
        <w:trPr>
          <w:cantSplit/>
        </w:trPr>
        <w:tc>
          <w:tcPr>
            <w:tcW w:type="dxa" w:w="93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EV-06</w:t>
            </w:r>
          </w:p>
        </w:tc>
        <w:tc>
          <w:tcPr>
            <w:tcW w:type="dxa" w:w="216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Human reviewer</w:t>
            </w:r>
          </w:p>
        </w:tc>
        <w:tc>
          <w:tcPr>
            <w:tcW w:type="dxa" w:w="576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Reviewer identity, displayed version, review timestamp, edit lineage</w:t>
            </w:r>
          </w:p>
        </w:tc>
        <w:tc>
          <w:tcPr>
            <w:tcW w:type="dxa" w:w="1007"/>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Present</w:t>
            </w:r>
          </w:p>
        </w:tc>
      </w:tr>
      <w:tr>
        <w:trPr>
          <w:cantSplit/>
        </w:trPr>
        <w:tc>
          <w:tcPr>
            <w:tcW w:type="dxa" w:w="93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EV-07</w:t>
            </w:r>
          </w:p>
        </w:tc>
        <w:tc>
          <w:tcPr>
            <w:tcW w:type="dxa" w:w="216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Approval / override record</w:t>
            </w:r>
          </w:p>
        </w:tc>
        <w:tc>
          <w:tcPr>
            <w:tcW w:type="dxa" w:w="576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Approval, exceptions, conditions, basis, timestamp</w:t>
            </w:r>
          </w:p>
        </w:tc>
        <w:tc>
          <w:tcPr>
            <w:tcW w:type="dxa" w:w="1007"/>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Present</w:t>
            </w:r>
          </w:p>
        </w:tc>
      </w:tr>
      <w:tr>
        <w:trPr>
          <w:cantSplit/>
        </w:trPr>
        <w:tc>
          <w:tcPr>
            <w:tcW w:type="dxa" w:w="93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EV-08</w:t>
            </w:r>
          </w:p>
        </w:tc>
        <w:tc>
          <w:tcPr>
            <w:tcW w:type="dxa" w:w="216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Retained evidence</w:t>
            </w:r>
          </w:p>
        </w:tc>
        <w:tc>
          <w:tcPr>
            <w:tcW w:type="dxa" w:w="576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Individual records exist; integrated governed chain does not</w:t>
            </w:r>
          </w:p>
        </w:tc>
        <w:tc>
          <w:tcPr>
            <w:tcW w:type="dxa" w:w="1007"/>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Missing</w:t>
            </w:r>
          </w:p>
        </w:tc>
      </w:tr>
    </w:tbl>
    <w:p>
      <w:pPr>
        <w:widowControl/>
        <w:spacing w:after="20"/>
      </w:pPr>
    </w:p>
    <w:p>
      <w:pPr>
        <w:pStyle w:val="Heading2"/>
        <w:keepNext/>
        <w:keepLines/>
        <w:widowControl/>
      </w:pPr>
      <w:r>
        <w:rPr>
          <w:rFonts w:ascii="Liberation Sans" w:hAnsi="Liberation Sans"/>
          <w:b/>
          <w:color w:val="17324D"/>
          <w:sz w:val="26"/>
        </w:rPr>
        <w:t>Overall conclusion</w:t>
      </w:r>
    </w:p>
    <w:tbl>
      <w:tblPr>
        <w:tblW w:type="auto" w:w="0"/>
        <w:jc w:val="center"/>
        <w:tblLayout w:type="fixed"/>
        <w:tblLook w:firstColumn="1" w:firstRow="1" w:lastColumn="0" w:lastRow="0" w:noHBand="0" w:noVBand="1" w:val="04A0"/>
      </w:tblPr>
      <w:tblGrid>
        <w:gridCol w:w="10166"/>
      </w:tblGrid>
      <w:tr>
        <w:tc>
          <w:tcPr>
            <w:tcW w:type="dxa" w:w="10008"/>
            <w:shd w:fill="DCEFED"/>
            <w:tcMar>
              <w:top w:w="120" w:type="dxa"/>
              <w:start w:w="150" w:type="dxa"/>
              <w:bottom w:w="120" w:type="dxa"/>
              <w:end w:w="150" w:type="dxa"/>
            </w:tcMar>
            <w:vAlign w:val="center"/>
            <w:tcBorders>
              <w:top w:val="single" w:sz="8" w:color="287D7A"/>
              <w:left w:val="single" w:sz="8" w:color="287D7A"/>
              <w:bottom w:val="single" w:sz="8" w:color="287D7A"/>
              <w:right w:val="single" w:sz="8" w:color="287D7A"/>
            </w:tcBorders>
          </w:tcPr>
          <w:p>
            <w:pPr>
              <w:keepNext/>
              <w:keepLines/>
              <w:widowControl/>
              <w:spacing w:before="0" w:after="60" w:line="252" w:lineRule="auto"/>
            </w:pPr>
            <w:r>
              <w:rPr>
                <w:rFonts w:ascii="Liberation Sans" w:hAnsi="Liberation Sans"/>
                <w:b/>
                <w:color w:val="17324D"/>
                <w:sz w:val="20"/>
              </w:rPr>
              <w:t>Partial auditability — Moderate confidence</w:t>
            </w:r>
          </w:p>
          <w:p>
            <w:pPr>
              <w:keepNext w:val="0"/>
              <w:keepLines/>
              <w:widowControl/>
              <w:spacing w:before="0" w:after="0" w:line="252" w:lineRule="auto"/>
            </w:pPr>
            <w:r>
              <w:rPr>
                <w:rFonts w:ascii="Liberation Sans" w:hAnsi="Liberation Sans"/>
                <w:color w:val="25313B"/>
                <w:sz w:val="18"/>
              </w:rPr>
              <w:t>The human-approved outcome, final memorandum, original AI output, analyst edits, exceptions, and approval event can be reconstructed. The precise AI context cannot be reconstructed in full because the rendered prompt and exact retrieved policy chunks were not retained. The organization also cannot demonstrate a complete, governed, time-bounded evidence chain. Locating the final memorandum is not equivalent to reconstructing how the AI-assisted artifact was produced.</w:t>
            </w:r>
          </w:p>
        </w:tc>
      </w:tr>
    </w:tbl>
    <w:p>
      <w:bookmarkStart w:id="30" w:name="artifact3"/>
      <w:pPr>
        <w:pStyle w:val="Heading1"/>
        <w:keepNext/>
        <w:keepLines/>
        <w:pageBreakBefore/>
        <w:widowControl/>
      </w:pPr>
      <w:r>
        <w:rPr>
          <w:rFonts w:ascii="Liberation Sans" w:hAnsi="Liberation Sans"/>
          <w:b/>
          <w:color w:val="17324D"/>
          <w:sz w:val="36"/>
        </w:rPr>
        <w:t>Artifact 3 — Auditability Gap Register</w:t>
      </w:r>
      <w:bookmarkEnd w:id="30"/>
    </w:p>
    <w:p>
      <w:pPr>
        <w:keepNext w:val="0"/>
        <w:keepLines w:val="0"/>
        <w:widowControl/>
        <w:spacing w:before="0" w:after="120" w:line="252" w:lineRule="auto"/>
      </w:pPr>
      <w:r>
        <w:rPr>
          <w:rFonts w:ascii="Liberation Sans" w:hAnsi="Liberation Sans"/>
          <w:b w:val="0"/>
          <w:i/>
          <w:color w:val="5E6A73"/>
          <w:sz w:val="18"/>
        </w:rPr>
        <w:t>Stable HTML anchor: #auditability-gap-register</w:t>
      </w:r>
    </w:p>
    <w:p>
      <w:pPr>
        <w:keepNext/>
        <w:widowControl/>
        <w:jc w:val="center"/>
      </w:pPr>
      <w:r>
        <w:drawing>
          <wp:inline xmlns:a="http://schemas.openxmlformats.org/drawingml/2006/main" xmlns:pic="http://schemas.openxmlformats.org/drawingml/2006/picture">
            <wp:extent cx="6217920" cy="2633472"/>
            <wp:docPr id="3" name="Picture 3" title="Auditability gap summary" descr="Seven cards showing four P1 reconstruction-critical gaps and three P2 material hardening gaps, each mapped to affected evidence elements."/>
            <wp:cNvGraphicFramePr>
              <a:graphicFrameLocks noChangeAspect="1"/>
            </wp:cNvGraphicFramePr>
            <a:graphic>
              <a:graphicData uri="http://schemas.openxmlformats.org/drawingml/2006/picture">
                <pic:pic>
                  <pic:nvPicPr>
                    <pic:cNvPr id="0" name="gaps.png"/>
                    <pic:cNvPicPr/>
                  </pic:nvPicPr>
                  <pic:blipFill>
                    <a:blip r:embed="rId13"/>
                    <a:stretch>
                      <a:fillRect/>
                    </a:stretch>
                  </pic:blipFill>
                  <pic:spPr>
                    <a:xfrm>
                      <a:off x="0" y="0"/>
                      <a:ext cx="6217920" cy="2633472"/>
                    </a:xfrm>
                    <a:prstGeom prst="rect"/>
                  </pic:spPr>
                </pic:pic>
              </a:graphicData>
            </a:graphic>
          </wp:inline>
        </w:drawing>
      </w:r>
    </w:p>
    <w:p>
      <w:pPr>
        <w:widowControl/>
        <w:spacing w:after="160"/>
        <w:jc w:val="center"/>
      </w:pPr>
      <w:r>
        <w:rPr>
          <w:rFonts w:ascii="Liberation Sans" w:hAnsi="Liberation Sans"/>
          <w:i/>
          <w:color w:val="5E6A73"/>
          <w:sz w:val="16"/>
        </w:rPr>
        <w:t>Figure 3. Gap population and priority summary.</w:t>
      </w:r>
    </w:p>
    <w:p>
      <w:pPr>
        <w:pStyle w:val="Heading2"/>
        <w:keepNext/>
        <w:keepLines/>
        <w:widowControl/>
      </w:pPr>
      <w:r>
        <w:rPr>
          <w:rFonts w:ascii="Liberation Sans" w:hAnsi="Liberation Sans"/>
          <w:b/>
          <w:color w:val="17324D"/>
          <w:sz w:val="26"/>
        </w:rPr>
        <w:t>Prioritization method</w:t>
      </w:r>
    </w:p>
    <w:tbl>
      <w:tblPr>
        <w:tblStyle w:val="TableGrid"/>
        <w:tblW w:type="auto" w:w="0"/>
        <w:jc w:val="center"/>
        <w:tblLayout w:type="fixed"/>
        <w:tblLook w:firstColumn="1" w:firstRow="1" w:lastColumn="0" w:lastRow="0" w:noHBand="0" w:noVBand="1" w:val="04A0"/>
      </w:tblPr>
      <w:tblGrid>
        <w:gridCol w:w="5083"/>
        <w:gridCol w:w="5083"/>
      </w:tblGrid>
      <w:tr>
        <w:trPr>
          <w:tblHeader w:val="true"/>
          <w:cantSplit/>
        </w:trPr>
        <w:tc>
          <w:tcPr>
            <w:tcW w:type="dxa" w:w="2880"/>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6"/>
              </w:rPr>
              <w:t>Priority</w:t>
            </w:r>
          </w:p>
        </w:tc>
        <w:tc>
          <w:tcPr>
            <w:tcW w:type="dxa" w:w="6983"/>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6"/>
              </w:rPr>
              <w:t>Definition</w:t>
            </w:r>
          </w:p>
        </w:tc>
      </w:tr>
      <w:tr>
        <w:trPr>
          <w:cantSplit/>
        </w:trPr>
        <w:tc>
          <w:tcPr>
            <w:tcW w:type="dxa" w:w="288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P1 — Reconstruction-critical</w:t>
            </w:r>
          </w:p>
        </w:tc>
        <w:tc>
          <w:tcPr>
            <w:tcW w:type="dxa" w:w="6983"/>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Blocks or materially undermines reconstruction, has repeat workflow exposure, and lacks strong compensating evidence</w:t>
            </w:r>
          </w:p>
        </w:tc>
      </w:tr>
      <w:tr>
        <w:trPr>
          <w:cantSplit/>
        </w:trPr>
        <w:tc>
          <w:tcPr>
            <w:tcW w:type="dxa" w:w="288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P2 — Material hardening gap</w:t>
            </w:r>
          </w:p>
        </w:tc>
        <w:tc>
          <w:tcPr>
            <w:tcW w:type="dxa" w:w="6983"/>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Degrades reliability, governance, or reviewer proof but has meaningful compensating evidence</w:t>
            </w:r>
          </w:p>
        </w:tc>
      </w:tr>
      <w:tr>
        <w:trPr>
          <w:cantSplit/>
        </w:trPr>
        <w:tc>
          <w:tcPr>
            <w:tcW w:type="dxa" w:w="288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P3 — Improvement opportunity</w:t>
            </w:r>
          </w:p>
        </w:tc>
        <w:tc>
          <w:tcPr>
            <w:tcW w:type="dxa" w:w="6983"/>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Improves efficiency or clarity without materially changing the present reconstruction conclusion</w:t>
            </w:r>
          </w:p>
        </w:tc>
      </w:tr>
    </w:tbl>
    <w:p>
      <w:pPr>
        <w:widowControl/>
        <w:spacing w:after="20"/>
      </w:pPr>
    </w:p>
    <w:p>
      <w:pPr>
        <w:keepNext w:val="0"/>
        <w:keepLines w:val="0"/>
        <w:widowControl/>
        <w:spacing w:before="0" w:after="100" w:line="252" w:lineRule="auto"/>
      </w:pPr>
      <w:r>
        <w:rPr>
          <w:rFonts w:ascii="Liberation Sans" w:hAnsi="Liberation Sans"/>
          <w:b/>
          <w:i w:val="0"/>
          <w:color w:val="9A3B3B"/>
          <w:sz w:val="18"/>
        </w:rPr>
        <w:t>No numerical risk score is calculated. No legal or compliance conclusion is assigned to any gap.</w:t>
      </w:r>
    </w:p>
    <w:p>
      <w:pPr>
        <w:pStyle w:val="Heading2"/>
        <w:keepNext/>
        <w:keepLines/>
        <w:widowControl/>
      </w:pPr>
      <w:r>
        <w:rPr>
          <w:rFonts w:ascii="Liberation Sans" w:hAnsi="Liberation Sans"/>
          <w:b/>
          <w:color w:val="17324D"/>
          <w:sz w:val="26"/>
        </w:rPr>
        <w:t>GAP-01 — Exact rendered prompt not retained</w:t>
      </w:r>
    </w:p>
    <w:tbl>
      <w:tblPr>
        <w:tblStyle w:val="TableGrid"/>
        <w:tblW w:type="auto" w:w="0"/>
        <w:jc w:val="center"/>
        <w:tblLayout w:type="fixed"/>
        <w:tblLook w:firstColumn="1" w:firstRow="1" w:lastColumn="0" w:lastRow="0" w:noHBand="0" w:noVBand="1" w:val="04A0"/>
      </w:tblPr>
      <w:tblGrid>
        <w:gridCol w:w="5083"/>
        <w:gridCol w:w="5083"/>
      </w:tblGrid>
      <w:tr>
        <w:trPr>
          <w:tblHeader w:val="true"/>
          <w:cantSplit/>
        </w:trPr>
        <w:tc>
          <w:tcPr>
            <w:tcW w:type="dxa" w:w="2088"/>
            <w:shd w:fill="1E5A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Field</w:t>
            </w:r>
          </w:p>
        </w:tc>
        <w:tc>
          <w:tcPr>
            <w:tcW w:type="dxa" w:w="7776"/>
            <w:shd w:fill="1E5A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Detail</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Evidence / priority</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EV-02  |  P1 / High</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Affected stage</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Prompt assembly and invocation</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Observed condition</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The exact fully rendered prompt was not retained. Precise field ordering and presentation of the conflicting concentration values cannot be established.</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Compensating evidence</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Template, system instruction, input snapshots, application version, original output</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Owner / remediation</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OWN-02; OWN-03  |  REM-01  |  First 30 days</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Validation</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Capture the exact rendered prompt and reproduce it without source code, interviews, or memory.</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Residual limitation</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Prompt capture does not establish output accuracy.</w:t>
            </w:r>
          </w:p>
        </w:tc>
      </w:tr>
    </w:tbl>
    <w:p>
      <w:pPr>
        <w:widowControl/>
        <w:spacing w:after="20"/>
      </w:pPr>
    </w:p>
    <w:p>
      <w:pPr>
        <w:pStyle w:val="Heading2"/>
        <w:keepNext/>
        <w:keepLines/>
        <w:widowControl/>
      </w:pPr>
      <w:r>
        <w:rPr>
          <w:rFonts w:ascii="Liberation Sans" w:hAnsi="Liberation Sans"/>
          <w:b/>
          <w:color w:val="17324D"/>
          <w:sz w:val="26"/>
        </w:rPr>
        <w:t>GAP-02 — Retrieval provenance incomplete</w:t>
      </w:r>
    </w:p>
    <w:tbl>
      <w:tblPr>
        <w:tblStyle w:val="TableGrid"/>
        <w:tblW w:type="auto" w:w="0"/>
        <w:jc w:val="center"/>
        <w:tblLayout w:type="fixed"/>
        <w:tblLook w:firstColumn="1" w:firstRow="1" w:lastColumn="0" w:lastRow="0" w:noHBand="0" w:noVBand="1" w:val="04A0"/>
      </w:tblPr>
      <w:tblGrid>
        <w:gridCol w:w="5083"/>
        <w:gridCol w:w="5083"/>
      </w:tblGrid>
      <w:tr>
        <w:trPr>
          <w:tblHeader w:val="true"/>
          <w:cantSplit/>
        </w:trPr>
        <w:tc>
          <w:tcPr>
            <w:tcW w:type="dxa" w:w="2088"/>
            <w:shd w:fill="1E5A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Field</w:t>
            </w:r>
          </w:p>
        </w:tc>
        <w:tc>
          <w:tcPr>
            <w:tcW w:type="dxa" w:w="7776"/>
            <w:shd w:fill="1E5A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Detail</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Evidence / priority</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EV-04  |  P1 / High</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Affected stage</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Policy retrieval</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Observed condition</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Corpus and policy-document versions are known, but exact chunks, text, rank, scores, and presentation order are absent.</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Compensating evidence</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Versioned policies, corpus ID, retrieval event, output citations</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Owner / remediation</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OWN-02; OWN-04  |  REM-02  |  Days 31–60</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Validation</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Reproduce exactly what policy context the model received.</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Residual limitation</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Provenance does not prove retrieval sufficiency or interpretation.</w:t>
            </w:r>
          </w:p>
        </w:tc>
      </w:tr>
    </w:tbl>
    <w:p>
      <w:pPr>
        <w:widowControl/>
        <w:spacing w:after="20"/>
      </w:pPr>
    </w:p>
    <w:p>
      <w:pPr>
        <w:pStyle w:val="Heading2"/>
        <w:keepNext/>
        <w:keepLines/>
        <w:widowControl/>
      </w:pPr>
      <w:r>
        <w:rPr>
          <w:rFonts w:ascii="Liberation Sans" w:hAnsi="Liberation Sans"/>
          <w:b/>
          <w:color w:val="17324D"/>
          <w:sz w:val="26"/>
        </w:rPr>
        <w:t>GAP-03 — No authoritative transaction evidence manifest</w:t>
      </w:r>
    </w:p>
    <w:tbl>
      <w:tblPr>
        <w:tblStyle w:val="TableGrid"/>
        <w:tblW w:type="auto" w:w="0"/>
        <w:jc w:val="center"/>
        <w:tblLayout w:type="fixed"/>
        <w:tblLook w:firstColumn="1" w:firstRow="1" w:lastColumn="0" w:lastRow="0" w:noHBand="0" w:noVBand="1" w:val="04A0"/>
      </w:tblPr>
      <w:tblGrid>
        <w:gridCol w:w="5083"/>
        <w:gridCol w:w="5083"/>
      </w:tblGrid>
      <w:tr>
        <w:trPr>
          <w:tblHeader w:val="true"/>
          <w:cantSplit/>
        </w:trPr>
        <w:tc>
          <w:tcPr>
            <w:tcW w:type="dxa" w:w="2088"/>
            <w:shd w:fill="1E5A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Field</w:t>
            </w:r>
          </w:p>
        </w:tc>
        <w:tc>
          <w:tcPr>
            <w:tcW w:type="dxa" w:w="7776"/>
            <w:shd w:fill="1E5A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Detail</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Evidence / priority</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EV-05–EV-08  |  P1 / High</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Affected stage</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Cross-system linkage</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Observed condition</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No authoritative manifest binds invocation, prompt, inputs, retrieval, output, review, approval, and downstream action.</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Compensating evidence</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Common transaction ID, timestamps, versions, manual index</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Owner / remediation</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OWN-03; OWN-01  |  REM-03  |  Days 31–60</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Validation</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Reconcile an automatically generated manifest to all source-system records.</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Residual limitation</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A manifest depends on source-record completeness and integrity.</w:t>
            </w:r>
          </w:p>
        </w:tc>
      </w:tr>
    </w:tbl>
    <w:p>
      <w:pPr>
        <w:widowControl/>
        <w:spacing w:after="20"/>
      </w:pPr>
    </w:p>
    <w:p>
      <w:pPr>
        <w:pStyle w:val="Heading2"/>
        <w:keepNext/>
        <w:keepLines/>
        <w:widowControl/>
      </w:pPr>
      <w:r>
        <w:rPr>
          <w:rFonts w:ascii="Liberation Sans" w:hAnsi="Liberation Sans"/>
          <w:b/>
          <w:color w:val="17324D"/>
          <w:sz w:val="26"/>
        </w:rPr>
        <w:t>GAP-04 — Retention and records controls not established</w:t>
      </w:r>
    </w:p>
    <w:tbl>
      <w:tblPr>
        <w:tblStyle w:val="TableGrid"/>
        <w:tblW w:type="auto" w:w="0"/>
        <w:jc w:val="center"/>
        <w:tblLayout w:type="fixed"/>
        <w:tblLook w:firstColumn="1" w:firstRow="1" w:lastColumn="0" w:lastRow="0" w:noHBand="0" w:noVBand="1" w:val="04A0"/>
      </w:tblPr>
      <w:tblGrid>
        <w:gridCol w:w="5083"/>
        <w:gridCol w:w="5083"/>
      </w:tblGrid>
      <w:tr>
        <w:trPr>
          <w:tblHeader w:val="true"/>
          <w:cantSplit/>
        </w:trPr>
        <w:tc>
          <w:tcPr>
            <w:tcW w:type="dxa" w:w="2088"/>
            <w:shd w:fill="1E5A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Field</w:t>
            </w:r>
          </w:p>
        </w:tc>
        <w:tc>
          <w:tcPr>
            <w:tcW w:type="dxa" w:w="7776"/>
            <w:shd w:fill="1E5A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Detail</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Evidence / priority</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EV-08  |  P1 / High</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Affected stage</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Evidence retention and producibility</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Observed condition</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The synthetic evidence set does not establish approved classification, retention, hold, authorized-deletion, or periodic producibility controls.</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Compensating evidence</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Individual records were available at six months</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Owner / remediation</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OWN-05  |  REM-04  |  Days 61–90</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Validation</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Test a retained synthetic record under organization-approved rules, including hold and authorized disposition.</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Residual limitation</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Records controls cannot recover evidence that was never captured.</w:t>
            </w:r>
          </w:p>
        </w:tc>
      </w:tr>
    </w:tbl>
    <w:p>
      <w:pPr>
        <w:widowControl/>
        <w:spacing w:after="20"/>
      </w:pPr>
    </w:p>
    <w:p>
      <w:pPr>
        <w:widowControl/>
      </w:pPr>
      <w:r>
        <w:br w:type="page"/>
      </w:r>
    </w:p>
    <w:p>
      <w:pPr>
        <w:pStyle w:val="Heading2"/>
        <w:keepNext/>
        <w:keepLines/>
        <w:widowControl/>
      </w:pPr>
      <w:r>
        <w:rPr>
          <w:rFonts w:ascii="Liberation Sans" w:hAnsi="Liberation Sans"/>
          <w:b/>
          <w:color w:val="17324D"/>
          <w:sz w:val="26"/>
        </w:rPr>
        <w:t>GAP-05 — Reviewer dispositions are not structured</w:t>
      </w:r>
    </w:p>
    <w:tbl>
      <w:tblPr>
        <w:tblStyle w:val="TableGrid"/>
        <w:tblW w:type="auto" w:w="0"/>
        <w:jc w:val="center"/>
        <w:tblLayout w:type="fixed"/>
        <w:tblLook w:firstColumn="1" w:firstRow="1" w:lastColumn="0" w:lastRow="0" w:noHBand="0" w:noVBand="1" w:val="04A0"/>
      </w:tblPr>
      <w:tblGrid>
        <w:gridCol w:w="5083"/>
        <w:gridCol w:w="5083"/>
      </w:tblGrid>
      <w:tr>
        <w:trPr>
          <w:tblHeader w:val="true"/>
          <w:cantSplit/>
        </w:trPr>
        <w:tc>
          <w:tcPr>
            <w:tcW w:type="dxa" w:w="2088"/>
            <w:shd w:fill="1E5A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Field</w:t>
            </w:r>
          </w:p>
        </w:tc>
        <w:tc>
          <w:tcPr>
            <w:tcW w:type="dxa" w:w="7776"/>
            <w:shd w:fill="1E5A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Detail</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Evidence / priority</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EV-06; EV-07  |  P2 / Moderate</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Affected stage</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Analyst review</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Observed condition</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The review captures identity and edits but does not require accept, reject, or modify dispositions for each material AI item.</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Compensating evidence</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Edit history, final memo, exception records, approval basis</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Owner / remediation</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OWN-01; OWN-03  |  REM-05  |  First 30 days</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Validation</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Inject an unsupported statement and block submission until a disposition and rationale are recorded.</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Residual limitation</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Structured dispositions do not prove the quality of judgment.</w:t>
            </w:r>
          </w:p>
        </w:tc>
      </w:tr>
    </w:tbl>
    <w:p>
      <w:pPr>
        <w:widowControl/>
        <w:spacing w:after="20"/>
      </w:pPr>
    </w:p>
    <w:p>
      <w:pPr>
        <w:pStyle w:val="Heading2"/>
        <w:keepNext/>
        <w:keepLines/>
        <w:widowControl/>
      </w:pPr>
      <w:r>
        <w:rPr>
          <w:rFonts w:ascii="Liberation Sans" w:hAnsi="Liberation Sans"/>
          <w:b/>
          <w:color w:val="17324D"/>
          <w:sz w:val="26"/>
        </w:rPr>
        <w:t>GAP-06 — Invocation not linked to governance records</w:t>
      </w:r>
    </w:p>
    <w:tbl>
      <w:tblPr>
        <w:tblStyle w:val="TableGrid"/>
        <w:tblW w:type="auto" w:w="0"/>
        <w:jc w:val="center"/>
        <w:tblLayout w:type="fixed"/>
        <w:tblLook w:firstColumn="1" w:firstRow="1" w:lastColumn="0" w:lastRow="0" w:noHBand="0" w:noVBand="1" w:val="04A0"/>
      </w:tblPr>
      <w:tblGrid>
        <w:gridCol w:w="5083"/>
        <w:gridCol w:w="5083"/>
      </w:tblGrid>
      <w:tr>
        <w:trPr>
          <w:tblHeader w:val="true"/>
          <w:cantSplit/>
        </w:trPr>
        <w:tc>
          <w:tcPr>
            <w:tcW w:type="dxa" w:w="2088"/>
            <w:shd w:fill="1E5A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Field</w:t>
            </w:r>
          </w:p>
        </w:tc>
        <w:tc>
          <w:tcPr>
            <w:tcW w:type="dxa" w:w="7776"/>
            <w:shd w:fill="1E5A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Detail</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Evidence / priority</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EV-01  |  P2 / Moderate</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Affected stage</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Invocation and change governance</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Observed condition</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The deployment is identifiable but not directly linked to AI inventory and deployment-change approval records.</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Compensating evidence</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Model revision, deployment, gateway config, application version, timestamp</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Owner / remediation</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OWN-06; OWN-02  |  REM-06  |  Days 31–60</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Validation</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Trace a selected invocation directly to inventory, permitted use, owner, and change record.</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Residual limitation</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Governance linkage does not establish output accuracy.</w:t>
            </w:r>
          </w:p>
        </w:tc>
      </w:tr>
    </w:tbl>
    <w:p>
      <w:pPr>
        <w:widowControl/>
        <w:spacing w:after="20"/>
      </w:pPr>
    </w:p>
    <w:p>
      <w:pPr>
        <w:pStyle w:val="Heading2"/>
        <w:keepNext/>
        <w:keepLines/>
        <w:widowControl/>
      </w:pPr>
      <w:r>
        <w:rPr>
          <w:rFonts w:ascii="Liberation Sans" w:hAnsi="Liberation Sans"/>
          <w:b/>
          <w:color w:val="17324D"/>
          <w:sz w:val="26"/>
        </w:rPr>
        <w:t>GAP-07 — Conflicting inputs not resolved before generation</w:t>
      </w:r>
    </w:p>
    <w:tbl>
      <w:tblPr>
        <w:tblStyle w:val="TableGrid"/>
        <w:tblW w:type="auto" w:w="0"/>
        <w:jc w:val="center"/>
        <w:tblLayout w:type="fixed"/>
        <w:tblLook w:firstColumn="1" w:firstRow="1" w:lastColumn="0" w:lastRow="0" w:noHBand="0" w:noVBand="1" w:val="04A0"/>
      </w:tblPr>
      <w:tblGrid>
        <w:gridCol w:w="5083"/>
        <w:gridCol w:w="5083"/>
      </w:tblGrid>
      <w:tr>
        <w:trPr>
          <w:tblHeader w:val="true"/>
          <w:cantSplit/>
        </w:trPr>
        <w:tc>
          <w:tcPr>
            <w:tcW w:type="dxa" w:w="2088"/>
            <w:shd w:fill="1E5A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Field</w:t>
            </w:r>
          </w:p>
        </w:tc>
        <w:tc>
          <w:tcPr>
            <w:tcW w:type="dxa" w:w="7776"/>
            <w:shd w:fill="1E5A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Detail</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Evidence / priority</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EV-02; EV-03  |  P2 / Moderate</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Affected stage</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Input preparation</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Observed condition</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MemoAssist accepted conflicting 28% and 31% values without requiring resolution or an explicit warning.</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Compensating evidence</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Analyst corrected the conflict before approval</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Owner / remediation</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OWN-03; OWN-01  |  REM-07  |  First 30 days</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Validation</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Repeat the conflict and verify that silent precedence is impossible.</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Residual limitation</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Conflict controls still depend on source-authority rules or human review.</w:t>
            </w:r>
          </w:p>
        </w:tc>
      </w:tr>
    </w:tbl>
    <w:p>
      <w:pPr>
        <w:widowControl/>
        <w:spacing w:after="20"/>
      </w:pPr>
    </w:p>
    <w:p>
      <w:pPr>
        <w:widowControl/>
      </w:pPr>
      <w:r>
        <w:br w:type="page"/>
      </w:r>
    </w:p>
    <w:p>
      <w:pPr>
        <w:pStyle w:val="Heading2"/>
        <w:keepNext/>
        <w:keepLines/>
        <w:widowControl/>
      </w:pPr>
      <w:r>
        <w:rPr>
          <w:rFonts w:ascii="Liberation Sans" w:hAnsi="Liberation Sans"/>
          <w:b/>
          <w:color w:val="17324D"/>
          <w:sz w:val="26"/>
        </w:rPr>
        <w:t>Gap-to-remediation traceability</w:t>
      </w:r>
    </w:p>
    <w:tbl>
      <w:tblPr>
        <w:tblStyle w:val="TableGrid"/>
        <w:tblW w:type="auto" w:w="0"/>
        <w:jc w:val="center"/>
        <w:tblLayout w:type="fixed"/>
        <w:tblLook w:firstColumn="1" w:firstRow="1" w:lastColumn="0" w:lastRow="0" w:noHBand="0" w:noVBand="1" w:val="04A0"/>
      </w:tblPr>
      <w:tblGrid>
        <w:gridCol w:w="2541"/>
        <w:gridCol w:w="2541"/>
        <w:gridCol w:w="2541"/>
        <w:gridCol w:w="2541"/>
      </w:tblGrid>
      <w:tr>
        <w:trPr>
          <w:tblHeader w:val="true"/>
          <w:cantSplit/>
        </w:trPr>
        <w:tc>
          <w:tcPr>
            <w:tcW w:type="dxa" w:w="1440"/>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6"/>
              </w:rPr>
              <w:t>Evidence</w:t>
            </w:r>
          </w:p>
        </w:tc>
        <w:tc>
          <w:tcPr>
            <w:tcW w:type="dxa" w:w="1440"/>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6"/>
              </w:rPr>
              <w:t>Status</w:t>
            </w:r>
          </w:p>
        </w:tc>
        <w:tc>
          <w:tcPr>
            <w:tcW w:type="dxa" w:w="3456"/>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6"/>
              </w:rPr>
              <w:t>Gap IDs</w:t>
            </w:r>
          </w:p>
        </w:tc>
        <w:tc>
          <w:tcPr>
            <w:tcW w:type="dxa" w:w="3528"/>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6"/>
              </w:rPr>
              <w:t>Remediation IDs</w:t>
            </w:r>
          </w:p>
        </w:tc>
      </w:tr>
      <w:tr>
        <w:trPr>
          <w:cantSplit/>
        </w:trPr>
        <w:tc>
          <w:tcPr>
            <w:tcW w:type="dxa" w:w="144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EV-01</w:t>
            </w:r>
          </w:p>
        </w:tc>
        <w:tc>
          <w:tcPr>
            <w:tcW w:type="dxa" w:w="144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Present</w:t>
            </w:r>
          </w:p>
        </w:tc>
        <w:tc>
          <w:tcPr>
            <w:tcW w:type="dxa" w:w="345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GAP-06</w:t>
            </w:r>
          </w:p>
        </w:tc>
        <w:tc>
          <w:tcPr>
            <w:tcW w:type="dxa" w:w="352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REM-06</w:t>
            </w:r>
          </w:p>
        </w:tc>
      </w:tr>
      <w:tr>
        <w:trPr>
          <w:cantSplit/>
        </w:trPr>
        <w:tc>
          <w:tcPr>
            <w:tcW w:type="dxa" w:w="144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EV-02</w:t>
            </w:r>
          </w:p>
        </w:tc>
        <w:tc>
          <w:tcPr>
            <w:tcW w:type="dxa" w:w="144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Partial</w:t>
            </w:r>
          </w:p>
        </w:tc>
        <w:tc>
          <w:tcPr>
            <w:tcW w:type="dxa" w:w="345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GAP-01, GAP-07</w:t>
            </w:r>
          </w:p>
        </w:tc>
        <w:tc>
          <w:tcPr>
            <w:tcW w:type="dxa" w:w="352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REM-01, REM-07</w:t>
            </w:r>
          </w:p>
        </w:tc>
      </w:tr>
      <w:tr>
        <w:trPr>
          <w:cantSplit/>
        </w:trPr>
        <w:tc>
          <w:tcPr>
            <w:tcW w:type="dxa" w:w="144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EV-03</w:t>
            </w:r>
          </w:p>
        </w:tc>
        <w:tc>
          <w:tcPr>
            <w:tcW w:type="dxa" w:w="144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Present</w:t>
            </w:r>
          </w:p>
        </w:tc>
        <w:tc>
          <w:tcPr>
            <w:tcW w:type="dxa" w:w="345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GAP-07</w:t>
            </w:r>
          </w:p>
        </w:tc>
        <w:tc>
          <w:tcPr>
            <w:tcW w:type="dxa" w:w="352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REM-07</w:t>
            </w:r>
          </w:p>
        </w:tc>
      </w:tr>
      <w:tr>
        <w:trPr>
          <w:cantSplit/>
        </w:trPr>
        <w:tc>
          <w:tcPr>
            <w:tcW w:type="dxa" w:w="144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EV-04</w:t>
            </w:r>
          </w:p>
        </w:tc>
        <w:tc>
          <w:tcPr>
            <w:tcW w:type="dxa" w:w="144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Partial</w:t>
            </w:r>
          </w:p>
        </w:tc>
        <w:tc>
          <w:tcPr>
            <w:tcW w:type="dxa" w:w="345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GAP-02</w:t>
            </w:r>
          </w:p>
        </w:tc>
        <w:tc>
          <w:tcPr>
            <w:tcW w:type="dxa" w:w="352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REM-02</w:t>
            </w:r>
          </w:p>
        </w:tc>
      </w:tr>
      <w:tr>
        <w:trPr>
          <w:cantSplit/>
        </w:trPr>
        <w:tc>
          <w:tcPr>
            <w:tcW w:type="dxa" w:w="144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EV-05</w:t>
            </w:r>
          </w:p>
        </w:tc>
        <w:tc>
          <w:tcPr>
            <w:tcW w:type="dxa" w:w="144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Present</w:t>
            </w:r>
          </w:p>
        </w:tc>
        <w:tc>
          <w:tcPr>
            <w:tcW w:type="dxa" w:w="345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GAP-03</w:t>
            </w:r>
          </w:p>
        </w:tc>
        <w:tc>
          <w:tcPr>
            <w:tcW w:type="dxa" w:w="352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REM-03</w:t>
            </w:r>
          </w:p>
        </w:tc>
      </w:tr>
      <w:tr>
        <w:trPr>
          <w:cantSplit/>
        </w:trPr>
        <w:tc>
          <w:tcPr>
            <w:tcW w:type="dxa" w:w="144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EV-06</w:t>
            </w:r>
          </w:p>
        </w:tc>
        <w:tc>
          <w:tcPr>
            <w:tcW w:type="dxa" w:w="144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Present</w:t>
            </w:r>
          </w:p>
        </w:tc>
        <w:tc>
          <w:tcPr>
            <w:tcW w:type="dxa" w:w="345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GAP-05, GAP-03</w:t>
            </w:r>
          </w:p>
        </w:tc>
        <w:tc>
          <w:tcPr>
            <w:tcW w:type="dxa" w:w="352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REM-05, REM-03</w:t>
            </w:r>
          </w:p>
        </w:tc>
      </w:tr>
      <w:tr>
        <w:trPr>
          <w:cantSplit/>
        </w:trPr>
        <w:tc>
          <w:tcPr>
            <w:tcW w:type="dxa" w:w="144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EV-07</w:t>
            </w:r>
          </w:p>
        </w:tc>
        <w:tc>
          <w:tcPr>
            <w:tcW w:type="dxa" w:w="144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Present</w:t>
            </w:r>
          </w:p>
        </w:tc>
        <w:tc>
          <w:tcPr>
            <w:tcW w:type="dxa" w:w="345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GAP-05, GAP-03</w:t>
            </w:r>
          </w:p>
        </w:tc>
        <w:tc>
          <w:tcPr>
            <w:tcW w:type="dxa" w:w="352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REM-05, REM-03</w:t>
            </w:r>
          </w:p>
        </w:tc>
      </w:tr>
      <w:tr>
        <w:trPr>
          <w:cantSplit/>
        </w:trPr>
        <w:tc>
          <w:tcPr>
            <w:tcW w:type="dxa" w:w="144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EV-08</w:t>
            </w:r>
          </w:p>
        </w:tc>
        <w:tc>
          <w:tcPr>
            <w:tcW w:type="dxa" w:w="144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Missing</w:t>
            </w:r>
          </w:p>
        </w:tc>
        <w:tc>
          <w:tcPr>
            <w:tcW w:type="dxa" w:w="345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GAP-03, GAP-04</w:t>
            </w:r>
          </w:p>
        </w:tc>
        <w:tc>
          <w:tcPr>
            <w:tcW w:type="dxa" w:w="352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REM-03, REM-04, REM-08</w:t>
            </w:r>
          </w:p>
        </w:tc>
      </w:tr>
    </w:tbl>
    <w:p>
      <w:pPr>
        <w:widowControl/>
        <w:spacing w:after="20"/>
      </w:pPr>
    </w:p>
    <w:p>
      <w:bookmarkStart w:id="40" w:name="artifact4"/>
      <w:pPr>
        <w:pStyle w:val="Heading1"/>
        <w:keepNext/>
        <w:keepLines/>
        <w:pageBreakBefore/>
        <w:widowControl/>
      </w:pPr>
      <w:r>
        <w:rPr>
          <w:rFonts w:ascii="Liberation Sans" w:hAnsi="Liberation Sans"/>
          <w:b/>
          <w:color w:val="17324D"/>
          <w:sz w:val="36"/>
        </w:rPr>
        <w:t>Artifact 4 — Audit Committee Briefing Memo</w:t>
      </w:r>
      <w:bookmarkEnd w:id="40"/>
    </w:p>
    <w:p>
      <w:pPr>
        <w:keepNext w:val="0"/>
        <w:keepLines w:val="0"/>
        <w:widowControl/>
        <w:spacing w:before="0" w:after="120" w:line="252" w:lineRule="auto"/>
      </w:pPr>
      <w:r>
        <w:rPr>
          <w:rFonts w:ascii="Liberation Sans" w:hAnsi="Liberation Sans"/>
          <w:b w:val="0"/>
          <w:i/>
          <w:color w:val="5E6A73"/>
          <w:sz w:val="18"/>
        </w:rPr>
        <w:t>Stable HTML anchor: #audit-committee-briefing-memo</w:t>
      </w:r>
    </w:p>
    <w:tbl>
      <w:tblPr>
        <w:tblStyle w:val="TableGrid"/>
        <w:tblW w:type="auto" w:w="0"/>
        <w:jc w:val="center"/>
        <w:tblLayout w:type="fixed"/>
        <w:tblLook w:firstColumn="1" w:firstRow="1" w:lastColumn="0" w:lastRow="0" w:noHBand="0" w:noVBand="1" w:val="04A0"/>
      </w:tblPr>
      <w:tblGrid>
        <w:gridCol w:w="5083"/>
        <w:gridCol w:w="5083"/>
      </w:tblGrid>
      <w:tr>
        <w:trPr>
          <w:tblHeader w:val="true"/>
          <w:cantSplit/>
        </w:trPr>
        <w:tc>
          <w:tcPr>
            <w:tcW w:type="dxa" w:w="1728"/>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7"/>
              </w:rPr>
              <w:t>To</w:t>
            </w:r>
          </w:p>
        </w:tc>
        <w:tc>
          <w:tcPr>
            <w:tcW w:type="dxa" w:w="8136"/>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7"/>
              </w:rPr>
              <w:t>Audit Committee of Example Regional Bank</w:t>
            </w:r>
          </w:p>
        </w:tc>
      </w:tr>
      <w:tr>
        <w:trPr>
          <w:cantSplit/>
        </w:trPr>
        <w:tc>
          <w:tcPr>
            <w:tcW w:type="dxa" w:w="172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7"/>
              </w:rPr>
              <w:t>From</w:t>
            </w:r>
          </w:p>
        </w:tc>
        <w:tc>
          <w:tcPr>
            <w:tcW w:type="dxa" w:w="813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7"/>
              </w:rPr>
              <w:t>Synthetic AI Auditability Review</w:t>
            </w:r>
          </w:p>
        </w:tc>
      </w:tr>
      <w:tr>
        <w:trPr>
          <w:cantSplit/>
        </w:trPr>
        <w:tc>
          <w:tcPr>
            <w:tcW w:type="dxa" w:w="172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7"/>
              </w:rPr>
              <w:t>Subject</w:t>
            </w:r>
          </w:p>
        </w:tc>
        <w:tc>
          <w:tcPr>
            <w:tcW w:type="dxa" w:w="813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7"/>
              </w:rPr>
              <w:t>Reconstruction of AI-assisted commercial credit memorandum SCM-2026-0042</w:t>
            </w:r>
          </w:p>
        </w:tc>
      </w:tr>
      <w:tr>
        <w:trPr>
          <w:cantSplit/>
        </w:trPr>
        <w:tc>
          <w:tcPr>
            <w:tcW w:type="dxa" w:w="172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7"/>
              </w:rPr>
              <w:t>Date</w:t>
            </w:r>
          </w:p>
        </w:tc>
        <w:tc>
          <w:tcPr>
            <w:tcW w:type="dxa" w:w="813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7"/>
              </w:rPr>
              <w:t>July 24, 2026</w:t>
            </w:r>
          </w:p>
        </w:tc>
      </w:tr>
    </w:tbl>
    <w:p>
      <w:pPr>
        <w:widowControl/>
        <w:spacing w:after="20"/>
      </w:pPr>
    </w:p>
    <w:p>
      <w:pPr>
        <w:pStyle w:val="Heading2"/>
        <w:keepNext/>
        <w:keepLines/>
        <w:widowControl/>
      </w:pPr>
      <w:r>
        <w:rPr>
          <w:rFonts w:ascii="Liberation Sans" w:hAnsi="Liberation Sans"/>
          <w:b/>
          <w:color w:val="17324D"/>
          <w:sz w:val="26"/>
        </w:rPr>
        <w:t>Executive conclusion</w:t>
      </w:r>
    </w:p>
    <w:p>
      <w:pPr>
        <w:keepNext w:val="0"/>
        <w:keepLines w:val="0"/>
        <w:widowControl/>
        <w:spacing w:before="0" w:after="100" w:line="252" w:lineRule="auto"/>
      </w:pPr>
      <w:r>
        <w:rPr>
          <w:rFonts w:ascii="Liberation Sans" w:hAnsi="Liberation Sans"/>
          <w:b w:val="0"/>
          <w:i w:val="0"/>
          <w:color w:val="25313B"/>
          <w:sz w:val="18"/>
        </w:rPr>
        <w:t>The sampled AI-assisted commercial credit memorandum could be reconstructed in outline but not in full. Five of eight evidence elements were fully Present, two were Partial, and one was Missing. The public band is Partial auditability, with Moderate overall reconstruction confidence.</w:t>
      </w:r>
    </w:p>
    <w:p>
      <w:pPr>
        <w:keepNext w:val="0"/>
        <w:keepLines w:val="0"/>
        <w:widowControl/>
        <w:spacing w:before="0" w:after="100" w:line="252" w:lineRule="auto"/>
      </w:pPr>
      <w:r>
        <w:rPr>
          <w:rFonts w:ascii="Liberation Sans" w:hAnsi="Liberation Sans"/>
          <w:b/>
          <w:i w:val="0"/>
          <w:color w:val="25313B"/>
          <w:sz w:val="18"/>
        </w:rPr>
        <w:t>The final human-approved outcome is well supported. The exact rendered prompt, exact retrieved policy context, unified evidence manifest, and organization-approved records controls were not produced or established.</w:t>
      </w:r>
    </w:p>
    <w:p>
      <w:pPr>
        <w:pStyle w:val="Heading2"/>
        <w:keepNext/>
        <w:keepLines/>
        <w:widowControl/>
      </w:pPr>
      <w:r>
        <w:rPr>
          <w:rFonts w:ascii="Liberation Sans" w:hAnsi="Liberation Sans"/>
          <w:b/>
          <w:color w:val="17324D"/>
          <w:sz w:val="26"/>
        </w:rPr>
        <w:t>Why the workflow matters</w:t>
      </w:r>
    </w:p>
    <w:p>
      <w:pPr>
        <w:keepNext w:val="0"/>
        <w:keepLines w:val="0"/>
        <w:widowControl/>
        <w:spacing w:before="0" w:after="100" w:line="252" w:lineRule="auto"/>
      </w:pPr>
      <w:r>
        <w:rPr>
          <w:rFonts w:ascii="Liberation Sans" w:hAnsi="Liberation Sans"/>
          <w:b w:val="0"/>
          <w:i w:val="0"/>
          <w:color w:val="25313B"/>
          <w:sz w:val="18"/>
        </w:rPr>
        <w:t>The AI-generated draft was not the credit decision, but it became an input to a consequential human process. The original output used the older 28% customer-concentration value, misstated approval authority, and included an unsupported litigation assertion. The analyst corrected or removed each item before approval. Human review operated as an important control; the auditability question is whether that control and the preceding AI context can be reconstructed later.</w:t>
      </w:r>
    </w:p>
    <w:p>
      <w:pPr>
        <w:pStyle w:val="Heading2"/>
        <w:keepNext/>
        <w:keepLines/>
        <w:widowControl/>
      </w:pPr>
      <w:r>
        <w:rPr>
          <w:rFonts w:ascii="Liberation Sans" w:hAnsi="Liberation Sans"/>
          <w:b/>
          <w:color w:val="17324D"/>
          <w:sz w:val="26"/>
        </w:rPr>
        <w:t>Principal strengths</w:t>
      </w:r>
    </w:p>
    <w:p>
      <w:pPr>
        <w:pStyle w:val="ListBullet"/>
        <w:keepNext w:val="0"/>
        <w:keepLines/>
        <w:widowControl/>
        <w:spacing w:before="0" w:after="40" w:line="240" w:lineRule="auto"/>
      </w:pPr>
      <w:r>
        <w:rPr>
          <w:rFonts w:ascii="Liberation Sans" w:hAnsi="Liberation Sans"/>
          <w:color w:val="25313B"/>
          <w:sz w:val="18"/>
        </w:rPr>
        <w:t>Model invocation and deployment identity were recoverable.</w:t>
      </w:r>
    </w:p>
    <w:p>
      <w:pPr>
        <w:pStyle w:val="ListBullet"/>
        <w:keepNext w:val="0"/>
        <w:keepLines/>
        <w:widowControl/>
        <w:spacing w:before="0" w:after="40" w:line="240" w:lineRule="auto"/>
      </w:pPr>
      <w:r>
        <w:rPr>
          <w:rFonts w:ascii="Liberation Sans" w:hAnsi="Liberation Sans"/>
          <w:color w:val="25313B"/>
          <w:sz w:val="18"/>
        </w:rPr>
        <w:t>Both frozen input records were preserved.</w:t>
      </w:r>
    </w:p>
    <w:p>
      <w:pPr>
        <w:pStyle w:val="ListBullet"/>
        <w:keepNext w:val="0"/>
        <w:keepLines/>
        <w:widowControl/>
        <w:spacing w:before="0" w:after="40" w:line="240" w:lineRule="auto"/>
      </w:pPr>
      <w:r>
        <w:rPr>
          <w:rFonts w:ascii="Liberation Sans" w:hAnsi="Liberation Sans"/>
          <w:color w:val="25313B"/>
          <w:sz w:val="18"/>
        </w:rPr>
        <w:t>The complete unedited original AI output was produced.</w:t>
      </w:r>
    </w:p>
    <w:p>
      <w:pPr>
        <w:pStyle w:val="ListBullet"/>
        <w:keepNext w:val="0"/>
        <w:keepLines/>
        <w:widowControl/>
        <w:spacing w:before="0" w:after="40" w:line="240" w:lineRule="auto"/>
      </w:pPr>
      <w:r>
        <w:rPr>
          <w:rFonts w:ascii="Liberation Sans" w:hAnsi="Liberation Sans"/>
          <w:color w:val="25313B"/>
          <w:sz w:val="18"/>
        </w:rPr>
        <w:t>Analyst identity, reviewed version, timestamps, and edit lineage were traceable.</w:t>
      </w:r>
    </w:p>
    <w:p>
      <w:pPr>
        <w:pStyle w:val="ListBullet"/>
        <w:keepNext w:val="0"/>
        <w:keepLines/>
        <w:widowControl/>
        <w:spacing w:before="0" w:after="40" w:line="240" w:lineRule="auto"/>
      </w:pPr>
      <w:r>
        <w:rPr>
          <w:rFonts w:ascii="Liberation Sans" w:hAnsi="Liberation Sans"/>
          <w:color w:val="25313B"/>
          <w:sz w:val="18"/>
        </w:rPr>
        <w:t>Final human approval, exceptions, conditions, basis, and approved artifact version were documented.</w:t>
      </w:r>
    </w:p>
    <w:p>
      <w:pPr>
        <w:pStyle w:val="Heading2"/>
        <w:keepNext/>
        <w:keepLines/>
        <w:widowControl/>
      </w:pPr>
      <w:r>
        <w:rPr>
          <w:rFonts w:ascii="Liberation Sans" w:hAnsi="Liberation Sans"/>
          <w:b/>
          <w:color w:val="17324D"/>
          <w:sz w:val="26"/>
        </w:rPr>
        <w:t>Principal gaps</w:t>
      </w:r>
    </w:p>
    <w:p>
      <w:pPr>
        <w:pStyle w:val="ListBullet"/>
        <w:keepNext w:val="0"/>
        <w:keepLines/>
        <w:widowControl/>
        <w:spacing w:before="0" w:after="40" w:line="240" w:lineRule="auto"/>
      </w:pPr>
      <w:r>
        <w:rPr>
          <w:rFonts w:ascii="Liberation Sans" w:hAnsi="Liberation Sans"/>
          <w:color w:val="25313B"/>
          <w:sz w:val="18"/>
        </w:rPr>
        <w:t>GAP-01: the exact rendered prompt was not retained.</w:t>
      </w:r>
    </w:p>
    <w:p>
      <w:pPr>
        <w:pStyle w:val="ListBullet"/>
        <w:keepNext w:val="0"/>
        <w:keepLines/>
        <w:widowControl/>
        <w:spacing w:before="0" w:after="40" w:line="240" w:lineRule="auto"/>
      </w:pPr>
      <w:r>
        <w:rPr>
          <w:rFonts w:ascii="Liberation Sans" w:hAnsi="Liberation Sans"/>
          <w:color w:val="25313B"/>
          <w:sz w:val="18"/>
        </w:rPr>
        <w:t>GAP-02: exact retrieved chunks, ranking, scores, and order were unavailable.</w:t>
      </w:r>
    </w:p>
    <w:p>
      <w:pPr>
        <w:pStyle w:val="ListBullet"/>
        <w:keepNext w:val="0"/>
        <w:keepLines/>
        <w:widowControl/>
        <w:spacing w:before="0" w:after="40" w:line="240" w:lineRule="auto"/>
      </w:pPr>
      <w:r>
        <w:rPr>
          <w:rFonts w:ascii="Liberation Sans" w:hAnsi="Liberation Sans"/>
          <w:color w:val="25313B"/>
          <w:sz w:val="18"/>
        </w:rPr>
        <w:t>GAP-03: evidence had to be assembled manually across eight systems.</w:t>
      </w:r>
    </w:p>
    <w:p>
      <w:pPr>
        <w:pStyle w:val="ListBullet"/>
        <w:keepNext w:val="0"/>
        <w:keepLines/>
        <w:widowControl/>
        <w:spacing w:before="0" w:after="40" w:line="240" w:lineRule="auto"/>
      </w:pPr>
      <w:r>
        <w:rPr>
          <w:rFonts w:ascii="Liberation Sans" w:hAnsi="Liberation Sans"/>
          <w:color w:val="25313B"/>
          <w:sz w:val="18"/>
        </w:rPr>
        <w:t>GAP-04: approved retention, hold, authorized-disposition, and producibility controls were not established.</w:t>
      </w:r>
    </w:p>
    <w:p>
      <w:pPr>
        <w:pStyle w:val="ListBullet"/>
        <w:keepNext w:val="0"/>
        <w:keepLines/>
        <w:widowControl/>
        <w:spacing w:before="0" w:after="40" w:line="240" w:lineRule="auto"/>
      </w:pPr>
      <w:r>
        <w:rPr>
          <w:rFonts w:ascii="Liberation Sans" w:hAnsi="Liberation Sans"/>
          <w:color w:val="25313B"/>
          <w:sz w:val="18"/>
        </w:rPr>
        <w:t>GAP-05 through GAP-07: reviewer dispositions, governance linkage, and input-conflict handling require hardening.</w:t>
      </w:r>
    </w:p>
    <w:p>
      <w:pPr>
        <w:pStyle w:val="Heading2"/>
        <w:keepNext/>
        <w:keepLines/>
        <w:widowControl/>
      </w:pPr>
      <w:r>
        <w:rPr>
          <w:rFonts w:ascii="Liberation Sans" w:hAnsi="Liberation Sans"/>
          <w:b/>
          <w:color w:val="17324D"/>
          <w:sz w:val="26"/>
        </w:rPr>
        <w:t>Oversight implications</w:t>
      </w:r>
    </w:p>
    <w:p>
      <w:pPr>
        <w:keepNext w:val="0"/>
        <w:keepLines w:val="0"/>
        <w:widowControl/>
        <w:spacing w:before="0" w:after="100" w:line="252" w:lineRule="auto"/>
      </w:pPr>
      <w:r>
        <w:rPr>
          <w:rFonts w:ascii="Liberation Sans" w:hAnsi="Liberation Sans"/>
          <w:b w:val="0"/>
          <w:i w:val="0"/>
          <w:color w:val="25313B"/>
          <w:sz w:val="18"/>
        </w:rPr>
        <w:t>Management should distinguish runtime evidence from governance documentation; a final human artifact from the original AI artifact; a retained template from the exact rendered prompt; document references from precise retrieved context; and surviving records from an organization-approved retention and evidence-production design.</w:t>
      </w:r>
    </w:p>
    <w:p>
      <w:pPr>
        <w:pStyle w:val="Heading2"/>
        <w:keepNext/>
        <w:keepLines/>
        <w:widowControl/>
      </w:pPr>
      <w:r>
        <w:rPr>
          <w:rFonts w:ascii="Liberation Sans" w:hAnsi="Liberation Sans"/>
          <w:b/>
          <w:color w:val="17324D"/>
          <w:sz w:val="26"/>
        </w:rPr>
        <w:t>Immediate management actions</w:t>
      </w:r>
    </w:p>
    <w:p>
      <w:pPr>
        <w:keepNext w:val="0"/>
        <w:keepLines/>
        <w:widowControl/>
        <w:spacing w:before="0" w:after="40" w:line="240" w:lineRule="auto"/>
        <w:ind w:left="360" w:hanging="360"/>
      </w:pPr>
      <w:r>
        <w:rPr>
          <w:rFonts w:ascii="Liberation Sans" w:hAnsi="Liberation Sans"/>
          <w:b/>
          <w:color w:val="17324D"/>
          <w:sz w:val="18"/>
        </w:rPr>
        <w:t xml:space="preserve">1.  </w:t>
      </w:r>
      <w:r>
        <w:rPr>
          <w:rFonts w:ascii="Liberation Sans" w:hAnsi="Liberation Sans"/>
          <w:color w:val="25313B"/>
          <w:sz w:val="18"/>
        </w:rPr>
        <w:t>REM-01 — Capture the exact rendered prompt.</w:t>
      </w:r>
    </w:p>
    <w:p>
      <w:pPr>
        <w:keepNext w:val="0"/>
        <w:keepLines/>
        <w:widowControl/>
        <w:spacing w:before="0" w:after="40" w:line="240" w:lineRule="auto"/>
        <w:ind w:left="360" w:hanging="360"/>
      </w:pPr>
      <w:r>
        <w:rPr>
          <w:rFonts w:ascii="Liberation Sans" w:hAnsi="Liberation Sans"/>
          <w:b/>
          <w:color w:val="17324D"/>
          <w:sz w:val="18"/>
        </w:rPr>
        <w:t xml:space="preserve">2.  </w:t>
      </w:r>
      <w:r>
        <w:rPr>
          <w:rFonts w:ascii="Liberation Sans" w:hAnsi="Liberation Sans"/>
          <w:color w:val="25313B"/>
          <w:sz w:val="18"/>
        </w:rPr>
        <w:t>REM-05 — Require structured reviewer dispositions.</w:t>
      </w:r>
    </w:p>
    <w:p>
      <w:pPr>
        <w:keepNext w:val="0"/>
        <w:keepLines/>
        <w:widowControl/>
        <w:spacing w:before="0" w:after="40" w:line="240" w:lineRule="auto"/>
        <w:ind w:left="360" w:hanging="360"/>
      </w:pPr>
      <w:r>
        <w:rPr>
          <w:rFonts w:ascii="Liberation Sans" w:hAnsi="Liberation Sans"/>
          <w:b/>
          <w:color w:val="17324D"/>
          <w:sz w:val="18"/>
        </w:rPr>
        <w:t xml:space="preserve">3.  </w:t>
      </w:r>
      <w:r>
        <w:rPr>
          <w:rFonts w:ascii="Liberation Sans" w:hAnsi="Liberation Sans"/>
          <w:color w:val="25313B"/>
          <w:sz w:val="18"/>
        </w:rPr>
        <w:t>REM-07 — Prevent silent precedence when inputs conflict.</w:t>
      </w:r>
    </w:p>
    <w:p>
      <w:pPr>
        <w:keepNext w:val="0"/>
        <w:keepLines/>
        <w:widowControl/>
        <w:spacing w:before="0" w:after="40" w:line="240" w:lineRule="auto"/>
        <w:ind w:left="360" w:hanging="360"/>
      </w:pPr>
      <w:r>
        <w:rPr>
          <w:rFonts w:ascii="Liberation Sans" w:hAnsi="Liberation Sans"/>
          <w:b/>
          <w:color w:val="17324D"/>
          <w:sz w:val="18"/>
        </w:rPr>
        <w:t xml:space="preserve">4.  </w:t>
      </w:r>
      <w:r>
        <w:rPr>
          <w:rFonts w:ascii="Liberation Sans" w:hAnsi="Liberation Sans"/>
          <w:color w:val="25313B"/>
          <w:sz w:val="18"/>
        </w:rPr>
        <w:t>Begin planning REM-03 — Create an authoritative evidence manifest.</w:t>
      </w:r>
    </w:p>
    <w:p>
      <w:pPr>
        <w:keepNext w:val="0"/>
        <w:keepLines/>
        <w:widowControl/>
        <w:spacing w:before="0" w:after="40" w:line="240" w:lineRule="auto"/>
        <w:ind w:left="360" w:hanging="360"/>
      </w:pPr>
      <w:r>
        <w:rPr>
          <w:rFonts w:ascii="Liberation Sans" w:hAnsi="Liberation Sans"/>
          <w:b/>
          <w:color w:val="17324D"/>
          <w:sz w:val="18"/>
        </w:rPr>
        <w:t xml:space="preserve">5.  </w:t>
      </w:r>
      <w:r>
        <w:rPr>
          <w:rFonts w:ascii="Liberation Sans" w:hAnsi="Liberation Sans"/>
          <w:color w:val="25313B"/>
          <w:sz w:val="18"/>
        </w:rPr>
        <w:t>Begin planning REM-04 — Establish organization-approved records controls.</w:t>
      </w:r>
    </w:p>
    <w:p>
      <w:pPr>
        <w:widowControl/>
      </w:pPr>
      <w:r>
        <w:br w:type="page"/>
      </w:r>
    </w:p>
    <w:p>
      <w:pPr>
        <w:pStyle w:val="Heading2"/>
        <w:keepNext/>
        <w:keepLines/>
        <w:widowControl/>
      </w:pPr>
      <w:r>
        <w:rPr>
          <w:rFonts w:ascii="Liberation Sans" w:hAnsi="Liberation Sans"/>
          <w:b/>
          <w:color w:val="17324D"/>
          <w:sz w:val="26"/>
        </w:rPr>
        <w:t>Questions for the committee</w:t>
      </w:r>
    </w:p>
    <w:p>
      <w:pPr>
        <w:keepNext w:val="0"/>
        <w:keepLines/>
        <w:widowControl/>
        <w:spacing w:before="0" w:after="40" w:line="240" w:lineRule="auto"/>
        <w:ind w:left="360" w:hanging="360"/>
      </w:pPr>
      <w:r>
        <w:rPr>
          <w:rFonts w:ascii="Liberation Sans" w:hAnsi="Liberation Sans"/>
          <w:b/>
          <w:color w:val="17324D"/>
          <w:sz w:val="18"/>
        </w:rPr>
        <w:t xml:space="preserve">1.  </w:t>
      </w:r>
      <w:r>
        <w:rPr>
          <w:rFonts w:ascii="Liberation Sans" w:hAnsi="Liberation Sans"/>
          <w:color w:val="25313B"/>
          <w:sz w:val="18"/>
        </w:rPr>
        <w:t>Which owner is accountable for producing the complete evidence chain for one AI-assisted transaction?</w:t>
      </w:r>
    </w:p>
    <w:p>
      <w:pPr>
        <w:keepNext w:val="0"/>
        <w:keepLines/>
        <w:widowControl/>
        <w:spacing w:before="0" w:after="40" w:line="240" w:lineRule="auto"/>
        <w:ind w:left="360" w:hanging="360"/>
      </w:pPr>
      <w:r>
        <w:rPr>
          <w:rFonts w:ascii="Liberation Sans" w:hAnsi="Liberation Sans"/>
          <w:b/>
          <w:color w:val="17324D"/>
          <w:sz w:val="18"/>
        </w:rPr>
        <w:t xml:space="preserve">2.  </w:t>
      </w:r>
      <w:r>
        <w:rPr>
          <w:rFonts w:ascii="Liberation Sans" w:hAnsi="Liberation Sans"/>
          <w:color w:val="25313B"/>
          <w:sz w:val="18"/>
        </w:rPr>
        <w:t>Can management demonstrate the exact prompt and retrieved context for a sampled output?</w:t>
      </w:r>
    </w:p>
    <w:p>
      <w:pPr>
        <w:keepNext w:val="0"/>
        <w:keepLines/>
        <w:widowControl/>
        <w:spacing w:before="0" w:after="40" w:line="240" w:lineRule="auto"/>
        <w:ind w:left="360" w:hanging="360"/>
      </w:pPr>
      <w:r>
        <w:rPr>
          <w:rFonts w:ascii="Liberation Sans" w:hAnsi="Liberation Sans"/>
          <w:b/>
          <w:color w:val="17324D"/>
          <w:sz w:val="18"/>
        </w:rPr>
        <w:t xml:space="preserve">3.  </w:t>
      </w:r>
      <w:r>
        <w:rPr>
          <w:rFonts w:ascii="Liberation Sans" w:hAnsi="Liberation Sans"/>
          <w:color w:val="25313B"/>
          <w:sz w:val="18"/>
        </w:rPr>
        <w:t>Does the reviewer workflow document why each material AI suggestion was accepted, rejected, or modified?</w:t>
      </w:r>
    </w:p>
    <w:p>
      <w:pPr>
        <w:keepNext w:val="0"/>
        <w:keepLines/>
        <w:widowControl/>
        <w:spacing w:before="0" w:after="40" w:line="240" w:lineRule="auto"/>
        <w:ind w:left="360" w:hanging="360"/>
      </w:pPr>
      <w:r>
        <w:rPr>
          <w:rFonts w:ascii="Liberation Sans" w:hAnsi="Liberation Sans"/>
          <w:b/>
          <w:color w:val="17324D"/>
          <w:sz w:val="18"/>
        </w:rPr>
        <w:t xml:space="preserve">4.  </w:t>
      </w:r>
      <w:r>
        <w:rPr>
          <w:rFonts w:ascii="Liberation Sans" w:hAnsi="Liberation Sans"/>
          <w:color w:val="25313B"/>
          <w:sz w:val="18"/>
        </w:rPr>
        <w:t>Can runtime invocations be traced directly to inventory and deployment-change records?</w:t>
      </w:r>
    </w:p>
    <w:p>
      <w:pPr>
        <w:keepNext w:val="0"/>
        <w:keepLines/>
        <w:widowControl/>
        <w:spacing w:before="0" w:after="40" w:line="240" w:lineRule="auto"/>
        <w:ind w:left="360" w:hanging="360"/>
      </w:pPr>
      <w:r>
        <w:rPr>
          <w:rFonts w:ascii="Liberation Sans" w:hAnsi="Liberation Sans"/>
          <w:b/>
          <w:color w:val="17324D"/>
          <w:sz w:val="18"/>
        </w:rPr>
        <w:t xml:space="preserve">5.  </w:t>
      </w:r>
      <w:r>
        <w:rPr>
          <w:rFonts w:ascii="Liberation Sans" w:hAnsi="Liberation Sans"/>
          <w:color w:val="25313B"/>
          <w:sz w:val="18"/>
        </w:rPr>
        <w:t>Has the organization approved how long each evidence element must be retained and how it will be produced?</w:t>
      </w:r>
    </w:p>
    <w:p>
      <w:pPr>
        <w:keepNext w:val="0"/>
        <w:keepLines/>
        <w:widowControl/>
        <w:spacing w:before="0" w:after="40" w:line="240" w:lineRule="auto"/>
        <w:ind w:left="360" w:hanging="360"/>
      </w:pPr>
      <w:r>
        <w:rPr>
          <w:rFonts w:ascii="Liberation Sans" w:hAnsi="Liberation Sans"/>
          <w:b/>
          <w:color w:val="17324D"/>
          <w:sz w:val="18"/>
        </w:rPr>
        <w:t xml:space="preserve">6.  </w:t>
      </w:r>
      <w:r>
        <w:rPr>
          <w:rFonts w:ascii="Liberation Sans" w:hAnsi="Liberation Sans"/>
          <w:color w:val="25313B"/>
          <w:sz w:val="18"/>
        </w:rPr>
        <w:t>When will management retest the workflow from retained evidence without interviews, memory, or source-code reconstruction?</w:t>
      </w:r>
    </w:p>
    <w:p>
      <w:pPr>
        <w:pStyle w:val="Heading2"/>
        <w:keepNext/>
        <w:keepLines/>
        <w:widowControl/>
      </w:pPr>
      <w:r>
        <w:rPr>
          <w:rFonts w:ascii="Liberation Sans" w:hAnsi="Liberation Sans"/>
          <w:b/>
          <w:color w:val="17324D"/>
          <w:sz w:val="26"/>
        </w:rPr>
        <w:t>Limitations and professional boundary</w:t>
      </w:r>
    </w:p>
    <w:p>
      <w:pPr>
        <w:keepNext w:val="0"/>
        <w:keepLines w:val="0"/>
        <w:widowControl/>
        <w:spacing w:before="0" w:after="100" w:line="252" w:lineRule="auto"/>
      </w:pPr>
      <w:r>
        <w:rPr>
          <w:rFonts w:ascii="Liberation Sans" w:hAnsi="Liberation Sans"/>
          <w:b w:val="0"/>
          <w:i w:val="0"/>
          <w:color w:val="25313B"/>
          <w:sz w:val="18"/>
        </w:rPr>
        <w:t>This review covers one fictional workflow and one synthetic transaction. It does not assess credit prudence, validate financial statements, evaluate model performance, fairness, bias, cybersecurity, or third-party security, determine legal or supervisory applicability, assess compliance, certify the workflow, or provide an independent audit opinion.</w:t>
      </w:r>
    </w:p>
    <w:tbl>
      <w:tblPr>
        <w:tblW w:type="auto" w:w="0"/>
        <w:jc w:val="center"/>
        <w:tblLayout w:type="fixed"/>
        <w:tblLook w:firstColumn="1" w:firstRow="1" w:lastColumn="0" w:lastRow="0" w:noHBand="0" w:noVBand="1" w:val="04A0"/>
      </w:tblPr>
      <w:tblGrid>
        <w:gridCol w:w="10166"/>
      </w:tblGrid>
      <w:tr>
        <w:tc>
          <w:tcPr>
            <w:tcW w:type="dxa" w:w="10008"/>
            <w:shd w:fill="F4F7F9"/>
            <w:tcMar>
              <w:top w:w="120" w:type="dxa"/>
              <w:start w:w="150" w:type="dxa"/>
              <w:bottom w:w="120" w:type="dxa"/>
              <w:end w:w="150" w:type="dxa"/>
            </w:tcMar>
            <w:vAlign w:val="center"/>
            <w:tcBorders>
              <w:top w:val="single" w:sz="8" w:color="17324D"/>
              <w:left w:val="single" w:sz="8" w:color="17324D"/>
              <w:bottom w:val="single" w:sz="8" w:color="17324D"/>
              <w:right w:val="single" w:sz="8" w:color="17324D"/>
            </w:tcBorders>
          </w:tcPr>
          <w:p>
            <w:pPr>
              <w:keepNext/>
              <w:keepLines/>
              <w:widowControl/>
              <w:spacing w:before="0" w:after="60" w:line="252" w:lineRule="auto"/>
            </w:pPr>
            <w:r>
              <w:rPr>
                <w:rFonts w:ascii="Liberation Sans" w:hAnsi="Liberation Sans"/>
                <w:b/>
                <w:color w:val="17324D"/>
                <w:sz w:val="20"/>
              </w:rPr>
              <w:t>Professional boundary</w:t>
            </w:r>
          </w:p>
          <w:p>
            <w:pPr>
              <w:keepNext w:val="0"/>
              <w:keepLines/>
              <w:widowControl/>
              <w:spacing w:before="0" w:after="0" w:line="252" w:lineRule="auto"/>
            </w:pPr>
            <w:r>
              <w:rPr>
                <w:rFonts w:ascii="Liberation Sans" w:hAnsi="Liberation Sans"/>
                <w:color w:val="25313B"/>
                <w:sz w:val="18"/>
              </w:rPr>
              <w:t>Invariant Engineering provides technical AI auditability engineering, evidence-readiness assessments, and remediation support. We do not provide legal advice, issue independent audit opinions, certify compliance, or act as the client’s external auditor.</w:t>
            </w:r>
          </w:p>
        </w:tc>
      </w:tr>
    </w:tbl>
    <w:p>
      <w:bookmarkStart w:id="50" w:name="artifact5"/>
      <w:pPr>
        <w:pStyle w:val="Heading1"/>
        <w:keepNext/>
        <w:keepLines/>
        <w:pageBreakBefore/>
        <w:widowControl/>
      </w:pPr>
      <w:r>
        <w:rPr>
          <w:rFonts w:ascii="Liberation Sans" w:hAnsi="Liberation Sans"/>
          <w:b/>
          <w:color w:val="17324D"/>
          <w:sz w:val="36"/>
        </w:rPr>
        <w:t>Artifact 5 — 30/60/90-Day Remediation Backlog</w:t>
      </w:r>
      <w:bookmarkEnd w:id="50"/>
    </w:p>
    <w:p>
      <w:pPr>
        <w:keepNext w:val="0"/>
        <w:keepLines w:val="0"/>
        <w:widowControl/>
        <w:spacing w:before="0" w:after="120" w:line="252" w:lineRule="auto"/>
      </w:pPr>
      <w:r>
        <w:rPr>
          <w:rFonts w:ascii="Liberation Sans" w:hAnsi="Liberation Sans"/>
          <w:b w:val="0"/>
          <w:i/>
          <w:color w:val="5E6A73"/>
          <w:sz w:val="18"/>
        </w:rPr>
        <w:t>Stable HTML anchor: #30-60-90-day-remediation-backlog</w:t>
      </w:r>
    </w:p>
    <w:p>
      <w:pPr>
        <w:keepNext/>
        <w:widowControl/>
        <w:jc w:val="center"/>
      </w:pPr>
      <w:r>
        <w:drawing>
          <wp:inline xmlns:a="http://schemas.openxmlformats.org/drawingml/2006/main" xmlns:pic="http://schemas.openxmlformats.org/drawingml/2006/picture">
            <wp:extent cx="6309360" cy="2453640"/>
            <wp:docPr id="4" name="Picture 4" title="30/60/90-day remediation roadmap" descr="A three-column roadmap showing first-30-day evidence and review controls, days-31-to-60 provenance and linkage, and days-61-to-90 records governance and retesting."/>
            <wp:cNvGraphicFramePr>
              <a:graphicFrameLocks noChangeAspect="1"/>
            </wp:cNvGraphicFramePr>
            <a:graphic>
              <a:graphicData uri="http://schemas.openxmlformats.org/drawingml/2006/picture">
                <pic:pic>
                  <pic:nvPicPr>
                    <pic:cNvPr id="0" name="roadmap.png"/>
                    <pic:cNvPicPr/>
                  </pic:nvPicPr>
                  <pic:blipFill>
                    <a:blip r:embed="rId14"/>
                    <a:stretch>
                      <a:fillRect/>
                    </a:stretch>
                  </pic:blipFill>
                  <pic:spPr>
                    <a:xfrm>
                      <a:off x="0" y="0"/>
                      <a:ext cx="6309360" cy="2453640"/>
                    </a:xfrm>
                    <a:prstGeom prst="rect"/>
                  </pic:spPr>
                </pic:pic>
              </a:graphicData>
            </a:graphic>
          </wp:inline>
        </w:drawing>
      </w:r>
    </w:p>
    <w:p>
      <w:pPr>
        <w:widowControl/>
        <w:spacing w:after="160"/>
        <w:jc w:val="center"/>
      </w:pPr>
      <w:r>
        <w:rPr>
          <w:rFonts w:ascii="Liberation Sans" w:hAnsi="Liberation Sans"/>
          <w:i/>
          <w:color w:val="5E6A73"/>
          <w:sz w:val="16"/>
        </w:rPr>
        <w:t>Figure 4. Remediation sequence.</w:t>
      </w:r>
    </w:p>
    <w:p>
      <w:pPr>
        <w:pStyle w:val="Heading2"/>
        <w:keepNext/>
        <w:keepLines/>
        <w:widowControl/>
      </w:pPr>
      <w:r>
        <w:rPr>
          <w:rFonts w:ascii="Liberation Sans" w:hAnsi="Liberation Sans"/>
          <w:b/>
          <w:color w:val="17324D"/>
          <w:sz w:val="26"/>
        </w:rPr>
        <w:t>Backlog objective</w:t>
      </w:r>
    </w:p>
    <w:p>
      <w:pPr>
        <w:keepNext w:val="0"/>
        <w:keepLines w:val="0"/>
        <w:widowControl/>
        <w:spacing w:before="0" w:after="100" w:line="252" w:lineRule="auto"/>
      </w:pPr>
      <w:r>
        <w:rPr>
          <w:rFonts w:ascii="Liberation Sans" w:hAnsi="Liberation Sans"/>
          <w:b w:val="0"/>
          <w:i w:val="0"/>
          <w:color w:val="25313B"/>
          <w:sz w:val="18"/>
        </w:rPr>
        <w:t>The sequence moves the workflow from manually reconstructed records toward a more complete, linked, governed, and reproducible evidence trail. It prioritizes direct evidence capture and review controls before broader records governance and automated retesting.</w:t>
      </w:r>
    </w:p>
    <w:p>
      <w:pPr>
        <w:pStyle w:val="Heading2"/>
        <w:keepNext/>
        <w:keepLines/>
        <w:widowControl/>
      </w:pPr>
      <w:r>
        <w:rPr>
          <w:rFonts w:ascii="Liberation Sans" w:hAnsi="Liberation Sans"/>
          <w:b/>
          <w:color w:val="17324D"/>
          <w:sz w:val="26"/>
        </w:rPr>
        <w:t>REM-01 — Persist the exact rendered system and user prompt, assembled field values, template and application versions, model-configuration reference, transaction ID, and content digest</w:t>
      </w:r>
    </w:p>
    <w:tbl>
      <w:tblPr>
        <w:tblStyle w:val="TableGrid"/>
        <w:tblW w:type="auto" w:w="0"/>
        <w:jc w:val="center"/>
        <w:tblLayout w:type="fixed"/>
        <w:tblLook w:firstColumn="1" w:firstRow="1" w:lastColumn="0" w:lastRow="0" w:noHBand="0" w:noVBand="1" w:val="04A0"/>
      </w:tblPr>
      <w:tblGrid>
        <w:gridCol w:w="5083"/>
        <w:gridCol w:w="5083"/>
      </w:tblGrid>
      <w:tr>
        <w:trPr>
          <w:tblHeader w:val="true"/>
          <w:cantSplit/>
        </w:trPr>
        <w:tc>
          <w:tcPr>
            <w:tcW w:type="dxa" w:w="2088"/>
            <w:shd w:fill="287D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Field</w:t>
            </w:r>
          </w:p>
        </w:tc>
        <w:tc>
          <w:tcPr>
            <w:tcW w:type="dxa" w:w="7776"/>
            <w:shd w:fill="287D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Detail</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Period / gap</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First 30 days  |  GAP-01</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Owner</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OWN-02; OWN-03</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Task</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Persist the exact rendered system and user prompt, assembled field values, template and application versions, model-configuration reference, transaction ID, and content digest.</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Expected output</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Invocation export containing exact rendered prompt and direct transaction link.</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Retest</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Reproduce the exact prompt without source code, interviews, or recreated context.</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Complexity</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Medium</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Residual limitation</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Prompt capture does not establish output correctness.</w:t>
            </w:r>
          </w:p>
        </w:tc>
      </w:tr>
    </w:tbl>
    <w:p>
      <w:pPr>
        <w:widowControl/>
        <w:spacing w:after="20"/>
      </w:pPr>
    </w:p>
    <w:p>
      <w:pPr>
        <w:widowControl/>
      </w:pPr>
      <w:r>
        <w:br w:type="page"/>
      </w:r>
    </w:p>
    <w:p>
      <w:pPr>
        <w:pStyle w:val="Heading2"/>
        <w:keepNext/>
        <w:keepLines/>
        <w:widowControl/>
      </w:pPr>
      <w:r>
        <w:rPr>
          <w:rFonts w:ascii="Liberation Sans" w:hAnsi="Liberation Sans"/>
          <w:b/>
          <w:color w:val="17324D"/>
          <w:sz w:val="26"/>
        </w:rPr>
        <w:t>REM-05 — Add structured accept, reject, or modify dispositions for every possible exception, unsupported assertion, conflicting input, and material AI suggestion</w:t>
      </w:r>
    </w:p>
    <w:tbl>
      <w:tblPr>
        <w:tblStyle w:val="TableGrid"/>
        <w:tblW w:type="auto" w:w="0"/>
        <w:jc w:val="center"/>
        <w:tblLayout w:type="fixed"/>
        <w:tblLook w:firstColumn="1" w:firstRow="1" w:lastColumn="0" w:lastRow="0" w:noHBand="0" w:noVBand="1" w:val="04A0"/>
      </w:tblPr>
      <w:tblGrid>
        <w:gridCol w:w="5083"/>
        <w:gridCol w:w="5083"/>
      </w:tblGrid>
      <w:tr>
        <w:trPr>
          <w:tblHeader w:val="true"/>
          <w:cantSplit/>
        </w:trPr>
        <w:tc>
          <w:tcPr>
            <w:tcW w:type="dxa" w:w="2088"/>
            <w:shd w:fill="287D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Field</w:t>
            </w:r>
          </w:p>
        </w:tc>
        <w:tc>
          <w:tcPr>
            <w:tcW w:type="dxa" w:w="7776"/>
            <w:shd w:fill="287D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Detail</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Period / gap</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First 30 days  |  GAP-05</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Owner</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OWN-01; OWN-03</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Task</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Add structured accept, reject, or modify dispositions for every possible exception, unsupported assertion, conflicting input, and material AI suggestion.</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Expected output</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Review record with disposition, rationale, displayed version, identity, timestamp, and attestation.</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Retest</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Inject an unsupported statement and block submission until disposition.</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Complexity</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Low to medium</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Residual limitation</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Structured dispositions do not prove judgment quality.</w:t>
            </w:r>
          </w:p>
        </w:tc>
      </w:tr>
    </w:tbl>
    <w:p>
      <w:pPr>
        <w:widowControl/>
        <w:spacing w:after="20"/>
      </w:pPr>
    </w:p>
    <w:p>
      <w:pPr>
        <w:pStyle w:val="Heading2"/>
        <w:keepNext/>
        <w:keepLines/>
        <w:widowControl/>
      </w:pPr>
      <w:r>
        <w:rPr>
          <w:rFonts w:ascii="Liberation Sans" w:hAnsi="Liberation Sans"/>
          <w:b/>
          <w:color w:val="17324D"/>
          <w:sz w:val="26"/>
        </w:rPr>
        <w:t>REM-07 — Detect conflicting structured and narrative values; require analyst resolution or an explicit unresolved-conflict marker before generation</w:t>
      </w:r>
    </w:p>
    <w:tbl>
      <w:tblPr>
        <w:tblStyle w:val="TableGrid"/>
        <w:tblW w:type="auto" w:w="0"/>
        <w:jc w:val="center"/>
        <w:tblLayout w:type="fixed"/>
        <w:tblLook w:firstColumn="1" w:firstRow="1" w:lastColumn="0" w:lastRow="0" w:noHBand="0" w:noVBand="1" w:val="04A0"/>
      </w:tblPr>
      <w:tblGrid>
        <w:gridCol w:w="5083"/>
        <w:gridCol w:w="5083"/>
      </w:tblGrid>
      <w:tr>
        <w:trPr>
          <w:tblHeader w:val="true"/>
          <w:cantSplit/>
        </w:trPr>
        <w:tc>
          <w:tcPr>
            <w:tcW w:type="dxa" w:w="2088"/>
            <w:shd w:fill="287D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Field</w:t>
            </w:r>
          </w:p>
        </w:tc>
        <w:tc>
          <w:tcPr>
            <w:tcW w:type="dxa" w:w="7776"/>
            <w:shd w:fill="287D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Detail</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Period / gap</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First 30 days  |  GAP-07</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Owner</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OWN-03; OWN-01</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Task</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Detect conflicting structured and narrative values; require analyst resolution or an explicit unresolved-conflict marker before generation.</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Expected output</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Conflict-resolution event showing values, authoritative source, actor, and timestamp.</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Retest</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Repeat the 28% / 31% conflict and verify silent precedence is impossible.</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Complexity</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Medium</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Residual limitation</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Source authority still depends on organization rules or human review.</w:t>
            </w:r>
          </w:p>
        </w:tc>
      </w:tr>
    </w:tbl>
    <w:p>
      <w:pPr>
        <w:widowControl/>
        <w:spacing w:after="20"/>
      </w:pPr>
    </w:p>
    <w:p>
      <w:pPr>
        <w:widowControl/>
      </w:pPr>
      <w:r>
        <w:br w:type="page"/>
      </w:r>
    </w:p>
    <w:p>
      <w:pPr>
        <w:pStyle w:val="Heading2"/>
        <w:keepNext/>
        <w:keepLines/>
        <w:widowControl/>
      </w:pPr>
      <w:r>
        <w:rPr>
          <w:rFonts w:ascii="Liberation Sans" w:hAnsi="Liberation Sans"/>
          <w:b/>
          <w:color w:val="17324D"/>
          <w:sz w:val="26"/>
        </w:rPr>
        <w:t>REM-02 — Persist corpus ID, policy document and version, chunk ID, exact presented text or immutable reference, rank, score, and presentation order</w:t>
      </w:r>
    </w:p>
    <w:tbl>
      <w:tblPr>
        <w:tblStyle w:val="TableGrid"/>
        <w:tblW w:type="auto" w:w="0"/>
        <w:jc w:val="center"/>
        <w:tblLayout w:type="fixed"/>
        <w:tblLook w:firstColumn="1" w:firstRow="1" w:lastColumn="0" w:lastRow="0" w:noHBand="0" w:noVBand="1" w:val="04A0"/>
      </w:tblPr>
      <w:tblGrid>
        <w:gridCol w:w="5083"/>
        <w:gridCol w:w="5083"/>
      </w:tblGrid>
      <w:tr>
        <w:trPr>
          <w:tblHeader w:val="true"/>
          <w:cantSplit/>
        </w:trPr>
        <w:tc>
          <w:tcPr>
            <w:tcW w:type="dxa" w:w="2088"/>
            <w:shd w:fill="287D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Field</w:t>
            </w:r>
          </w:p>
        </w:tc>
        <w:tc>
          <w:tcPr>
            <w:tcW w:type="dxa" w:w="7776"/>
            <w:shd w:fill="287D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Detail</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Period / gap</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Days 31–60  |  GAP-02</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Owner</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OWN-02; OWN-04</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Task</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Persist corpus ID, policy document and version, chunk ID, exact presented text or immutable reference, rank, score, and presentation order.</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Expected output</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Retrieval-trace export.</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Retest</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Reconstruct the exact policy context without rerunning retrieval.</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Complexity</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Medium</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Residual limitation</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Provenance does not prove retrieval sufficiency.</w:t>
            </w:r>
          </w:p>
        </w:tc>
      </w:tr>
    </w:tbl>
    <w:p>
      <w:pPr>
        <w:widowControl/>
        <w:spacing w:after="20"/>
      </w:pPr>
    </w:p>
    <w:p>
      <w:pPr>
        <w:pStyle w:val="Heading2"/>
        <w:keepNext/>
        <w:keepLines/>
        <w:widowControl/>
      </w:pPr>
      <w:r>
        <w:rPr>
          <w:rFonts w:ascii="Liberation Sans" w:hAnsi="Liberation Sans"/>
          <w:b/>
          <w:color w:val="17324D"/>
          <w:sz w:val="26"/>
        </w:rPr>
        <w:t>REM-03 — Generate a versioned transaction evidence manifest binding all eight elements and the approval and booking records</w:t>
      </w:r>
    </w:p>
    <w:tbl>
      <w:tblPr>
        <w:tblStyle w:val="TableGrid"/>
        <w:tblW w:type="auto" w:w="0"/>
        <w:jc w:val="center"/>
        <w:tblLayout w:type="fixed"/>
        <w:tblLook w:firstColumn="1" w:firstRow="1" w:lastColumn="0" w:lastRow="0" w:noHBand="0" w:noVBand="1" w:val="04A0"/>
      </w:tblPr>
      <w:tblGrid>
        <w:gridCol w:w="5083"/>
        <w:gridCol w:w="5083"/>
      </w:tblGrid>
      <w:tr>
        <w:trPr>
          <w:tblHeader w:val="true"/>
          <w:cantSplit/>
        </w:trPr>
        <w:tc>
          <w:tcPr>
            <w:tcW w:type="dxa" w:w="2088"/>
            <w:shd w:fill="287D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Field</w:t>
            </w:r>
          </w:p>
        </w:tc>
        <w:tc>
          <w:tcPr>
            <w:tcW w:type="dxa" w:w="7776"/>
            <w:shd w:fill="287D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Detail</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Period / gap</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Days 31–60  |  GAP-03</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Owner</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OWN-03; OWN-01</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Task</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Generate a versioned transaction evidence manifest binding all eight elements and the approval and booking records.</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Expected output</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Manifest with evidence IDs, timestamps, source systems, versions, relationship keys, and content digests.</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Retest</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Reconcile the manifest to every source record and test missing or mismatched relationships.</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Complexity</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Medium</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Residual limitation</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Manifest quality depends on source records.</w:t>
            </w:r>
          </w:p>
        </w:tc>
      </w:tr>
    </w:tbl>
    <w:p>
      <w:pPr>
        <w:widowControl/>
        <w:spacing w:after="20"/>
      </w:pPr>
    </w:p>
    <w:p>
      <w:pPr>
        <w:pStyle w:val="Heading2"/>
        <w:keepNext/>
        <w:keepLines/>
        <w:widowControl/>
      </w:pPr>
      <w:r>
        <w:rPr>
          <w:rFonts w:ascii="Liberation Sans" w:hAnsi="Liberation Sans"/>
          <w:b/>
          <w:color w:val="17324D"/>
          <w:sz w:val="26"/>
        </w:rPr>
        <w:t>REM-06 — Link every invocation to the approved AI inventory record, deployment-change record, stated use limitation, and oversight owner</w:t>
      </w:r>
    </w:p>
    <w:tbl>
      <w:tblPr>
        <w:tblStyle w:val="TableGrid"/>
        <w:tblW w:type="auto" w:w="0"/>
        <w:jc w:val="center"/>
        <w:tblLayout w:type="fixed"/>
        <w:tblLook w:firstColumn="1" w:firstRow="1" w:lastColumn="0" w:lastRow="0" w:noHBand="0" w:noVBand="1" w:val="04A0"/>
      </w:tblPr>
      <w:tblGrid>
        <w:gridCol w:w="5083"/>
        <w:gridCol w:w="5083"/>
      </w:tblGrid>
      <w:tr>
        <w:trPr>
          <w:tblHeader w:val="true"/>
          <w:cantSplit/>
        </w:trPr>
        <w:tc>
          <w:tcPr>
            <w:tcW w:type="dxa" w:w="2088"/>
            <w:shd w:fill="287D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Field</w:t>
            </w:r>
          </w:p>
        </w:tc>
        <w:tc>
          <w:tcPr>
            <w:tcW w:type="dxa" w:w="7776"/>
            <w:shd w:fill="287D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Detail</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Period / gap</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Days 31–60  |  GAP-06</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Owner</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OWN-06; OWN-02</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Task</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Link every invocation to the approved AI inventory record, deployment-change record, stated use limitation, and oversight owner.</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Expected output</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Invocation evidence containing inventory and change-record references.</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Retest</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Trace a controlled invocation to the authorized deployment and governance records.</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Complexity</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Low to medium</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Residual limitation</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Governance linkage does not establish output accuracy.</w:t>
            </w:r>
          </w:p>
        </w:tc>
      </w:tr>
    </w:tbl>
    <w:p>
      <w:pPr>
        <w:widowControl/>
        <w:spacing w:after="20"/>
      </w:pPr>
    </w:p>
    <w:p>
      <w:pPr>
        <w:widowControl/>
      </w:pPr>
      <w:r>
        <w:br w:type="page"/>
      </w:r>
    </w:p>
    <w:p>
      <w:pPr>
        <w:pStyle w:val="Heading2"/>
        <w:keepNext/>
        <w:keepLines/>
        <w:widowControl/>
      </w:pPr>
      <w:r>
        <w:rPr>
          <w:rFonts w:ascii="Liberation Sans" w:hAnsi="Liberation Sans"/>
          <w:b/>
          <w:color w:val="17324D"/>
          <w:sz w:val="26"/>
        </w:rPr>
        <w:t>REM-04 — Approve and implement fictional organization-specific evidence classification, retention, hold, authorized-deletion, and producibility controls</w:t>
      </w:r>
    </w:p>
    <w:tbl>
      <w:tblPr>
        <w:tblStyle w:val="TableGrid"/>
        <w:tblW w:type="auto" w:w="0"/>
        <w:jc w:val="center"/>
        <w:tblLayout w:type="fixed"/>
        <w:tblLook w:firstColumn="1" w:firstRow="1" w:lastColumn="0" w:lastRow="0" w:noHBand="0" w:noVBand="1" w:val="04A0"/>
      </w:tblPr>
      <w:tblGrid>
        <w:gridCol w:w="5083"/>
        <w:gridCol w:w="5083"/>
      </w:tblGrid>
      <w:tr>
        <w:trPr>
          <w:tblHeader w:val="true"/>
          <w:cantSplit/>
        </w:trPr>
        <w:tc>
          <w:tcPr>
            <w:tcW w:type="dxa" w:w="2088"/>
            <w:shd w:fill="287D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Field</w:t>
            </w:r>
          </w:p>
        </w:tc>
        <w:tc>
          <w:tcPr>
            <w:tcW w:type="dxa" w:w="7776"/>
            <w:shd w:fill="287D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Detail</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Period / gap</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Days 61–90  |  GAP-04</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Owner</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OWN-05</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Task</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Approve and implement fictional organization-specific evidence classification, retention, hold, authorized-deletion, and producibility controls.</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Expected output</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Organization-approved records-control mapping and successful configuration/test evidence.</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Retest</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Produce a retained synthetic record and test hold and authorized-disposition behavior.</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Complexity</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Medium</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Residual limitation</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Records controls cannot recover evidence never captured.</w:t>
            </w:r>
          </w:p>
        </w:tc>
      </w:tr>
    </w:tbl>
    <w:p>
      <w:pPr>
        <w:widowControl/>
        <w:spacing w:after="20"/>
      </w:pPr>
    </w:p>
    <w:p>
      <w:pPr>
        <w:pStyle w:val="Heading2"/>
        <w:keepNext/>
        <w:keepLines/>
        <w:widowControl/>
      </w:pPr>
      <w:r>
        <w:rPr>
          <w:rFonts w:ascii="Liberation Sans" w:hAnsi="Liberation Sans"/>
          <w:b/>
          <w:color w:val="17324D"/>
          <w:sz w:val="26"/>
        </w:rPr>
        <w:t>REM-08 — Add an automated evidence-completeness check and perform a fresh Six-Month Reconstruction Test simulation</w:t>
      </w:r>
    </w:p>
    <w:tbl>
      <w:tblPr>
        <w:tblStyle w:val="TableGrid"/>
        <w:tblW w:type="auto" w:w="0"/>
        <w:jc w:val="center"/>
        <w:tblLayout w:type="fixed"/>
        <w:tblLook w:firstColumn="1" w:firstRow="1" w:lastColumn="0" w:lastRow="0" w:noHBand="0" w:noVBand="1" w:val="04A0"/>
      </w:tblPr>
      <w:tblGrid>
        <w:gridCol w:w="5083"/>
        <w:gridCol w:w="5083"/>
      </w:tblGrid>
      <w:tr>
        <w:trPr>
          <w:tblHeader w:val="true"/>
          <w:cantSplit/>
        </w:trPr>
        <w:tc>
          <w:tcPr>
            <w:tcW w:type="dxa" w:w="2088"/>
            <w:shd w:fill="287D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Field</w:t>
            </w:r>
          </w:p>
        </w:tc>
        <w:tc>
          <w:tcPr>
            <w:tcW w:type="dxa" w:w="7776"/>
            <w:shd w:fill="287D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Detail</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Period / gap</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Days 61–90  |  GAP-01–GAP-07</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Owner</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OWN-03; validated by OWN-07</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Task</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Add an automated evidence-completeness check and perform a fresh Six-Month Reconstruction Test simulation.</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Expected output</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Completeness report, exception report, and retest packet.</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Retest</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Reconstruct a fresh synthetic transaction using retained evidence only.</w:t>
            </w:r>
          </w:p>
        </w:tc>
      </w:tr>
      <w:tr>
        <w:trPr>
          <w:cantSplit/>
        </w:trPr>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Complexity</w:t>
            </w:r>
          </w:p>
        </w:tc>
        <w:tc>
          <w:tcPr>
            <w:tcW w:type="dxa" w:w="77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Medium</w:t>
            </w:r>
          </w:p>
        </w:tc>
      </w:tr>
      <w:tr>
        <w:trPr>
          <w:cantSplit/>
        </w:trPr>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Residual limitation</w:t>
            </w:r>
          </w:p>
        </w:tc>
        <w:tc>
          <w:tcPr>
            <w:tcW w:type="dxa" w:w="77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A successful retest applies to the tested workflow and configuration.</w:t>
            </w:r>
          </w:p>
        </w:tc>
      </w:tr>
    </w:tbl>
    <w:p>
      <w:pPr>
        <w:widowControl/>
        <w:spacing w:after="20"/>
      </w:pPr>
    </w:p>
    <w:p>
      <w:pPr>
        <w:widowControl/>
      </w:pPr>
      <w:r>
        <w:br w:type="page"/>
      </w:r>
    </w:p>
    <w:p>
      <w:pPr>
        <w:pStyle w:val="Heading2"/>
        <w:keepNext/>
        <w:keepLines/>
        <w:widowControl/>
      </w:pPr>
      <w:r>
        <w:rPr>
          <w:rFonts w:ascii="Liberation Sans" w:hAnsi="Liberation Sans"/>
          <w:b/>
          <w:color w:val="17324D"/>
          <w:sz w:val="26"/>
        </w:rPr>
        <w:t>Remediation acceptance criteria</w:t>
      </w:r>
    </w:p>
    <w:p>
      <w:pPr>
        <w:keepNext w:val="0"/>
        <w:keepLines/>
        <w:widowControl/>
        <w:spacing w:before="0" w:after="40" w:line="240" w:lineRule="auto"/>
        <w:ind w:left="360" w:hanging="360"/>
      </w:pPr>
      <w:r>
        <w:rPr>
          <w:rFonts w:ascii="Liberation Sans" w:hAnsi="Liberation Sans"/>
          <w:b/>
          <w:color w:val="17324D"/>
          <w:sz w:val="18"/>
        </w:rPr>
        <w:t xml:space="preserve">1.  </w:t>
      </w:r>
      <w:r>
        <w:rPr>
          <w:rFonts w:ascii="Liberation Sans" w:hAnsi="Liberation Sans"/>
          <w:color w:val="25313B"/>
          <w:sz w:val="18"/>
        </w:rPr>
        <w:t>Identify the exact model deployment and its governance record.</w:t>
      </w:r>
    </w:p>
    <w:p>
      <w:pPr>
        <w:keepNext w:val="0"/>
        <w:keepLines/>
        <w:widowControl/>
        <w:spacing w:before="0" w:after="40" w:line="240" w:lineRule="auto"/>
        <w:ind w:left="360" w:hanging="360"/>
      </w:pPr>
      <w:r>
        <w:rPr>
          <w:rFonts w:ascii="Liberation Sans" w:hAnsi="Liberation Sans"/>
          <w:b/>
          <w:color w:val="17324D"/>
          <w:sz w:val="18"/>
        </w:rPr>
        <w:t xml:space="preserve">2.  </w:t>
      </w:r>
      <w:r>
        <w:rPr>
          <w:rFonts w:ascii="Liberation Sans" w:hAnsi="Liberation Sans"/>
          <w:color w:val="25313B"/>
          <w:sz w:val="18"/>
        </w:rPr>
        <w:t>Produce the exact rendered prompt.</w:t>
      </w:r>
    </w:p>
    <w:p>
      <w:pPr>
        <w:keepNext w:val="0"/>
        <w:keepLines/>
        <w:widowControl/>
        <w:spacing w:before="0" w:after="40" w:line="240" w:lineRule="auto"/>
        <w:ind w:left="360" w:hanging="360"/>
      </w:pPr>
      <w:r>
        <w:rPr>
          <w:rFonts w:ascii="Liberation Sans" w:hAnsi="Liberation Sans"/>
          <w:b/>
          <w:color w:val="17324D"/>
          <w:sz w:val="18"/>
        </w:rPr>
        <w:t xml:space="preserve">3.  </w:t>
      </w:r>
      <w:r>
        <w:rPr>
          <w:rFonts w:ascii="Liberation Sans" w:hAnsi="Liberation Sans"/>
          <w:color w:val="25313B"/>
          <w:sz w:val="18"/>
        </w:rPr>
        <w:t>Produce frozen input records.</w:t>
      </w:r>
    </w:p>
    <w:p>
      <w:pPr>
        <w:keepNext w:val="0"/>
        <w:keepLines/>
        <w:widowControl/>
        <w:spacing w:before="0" w:after="40" w:line="240" w:lineRule="auto"/>
        <w:ind w:left="360" w:hanging="360"/>
      </w:pPr>
      <w:r>
        <w:rPr>
          <w:rFonts w:ascii="Liberation Sans" w:hAnsi="Liberation Sans"/>
          <w:b/>
          <w:color w:val="17324D"/>
          <w:sz w:val="18"/>
        </w:rPr>
        <w:t xml:space="preserve">4.  </w:t>
      </w:r>
      <w:r>
        <w:rPr>
          <w:rFonts w:ascii="Liberation Sans" w:hAnsi="Liberation Sans"/>
          <w:color w:val="25313B"/>
          <w:sz w:val="18"/>
        </w:rPr>
        <w:t>Reproduce the exact retrieved policy context.</w:t>
      </w:r>
    </w:p>
    <w:p>
      <w:pPr>
        <w:keepNext w:val="0"/>
        <w:keepLines/>
        <w:widowControl/>
        <w:spacing w:before="0" w:after="40" w:line="240" w:lineRule="auto"/>
        <w:ind w:left="360" w:hanging="360"/>
      </w:pPr>
      <w:r>
        <w:rPr>
          <w:rFonts w:ascii="Liberation Sans" w:hAnsi="Liberation Sans"/>
          <w:b/>
          <w:color w:val="17324D"/>
          <w:sz w:val="18"/>
        </w:rPr>
        <w:t xml:space="preserve">5.  </w:t>
      </w:r>
      <w:r>
        <w:rPr>
          <w:rFonts w:ascii="Liberation Sans" w:hAnsi="Liberation Sans"/>
          <w:color w:val="25313B"/>
          <w:sz w:val="18"/>
        </w:rPr>
        <w:t>Produce the original unedited output.</w:t>
      </w:r>
    </w:p>
    <w:p>
      <w:pPr>
        <w:keepNext w:val="0"/>
        <w:keepLines/>
        <w:widowControl/>
        <w:spacing w:before="0" w:after="40" w:line="240" w:lineRule="auto"/>
        <w:ind w:left="360" w:hanging="360"/>
      </w:pPr>
      <w:r>
        <w:rPr>
          <w:rFonts w:ascii="Liberation Sans" w:hAnsi="Liberation Sans"/>
          <w:b/>
          <w:color w:val="17324D"/>
          <w:sz w:val="18"/>
        </w:rPr>
        <w:t xml:space="preserve">6.  </w:t>
      </w:r>
      <w:r>
        <w:rPr>
          <w:rFonts w:ascii="Liberation Sans" w:hAnsi="Liberation Sans"/>
          <w:color w:val="25313B"/>
          <w:sz w:val="18"/>
        </w:rPr>
        <w:t>Identify the reviewer and the artifact reviewed.</w:t>
      </w:r>
    </w:p>
    <w:p>
      <w:pPr>
        <w:keepNext w:val="0"/>
        <w:keepLines/>
        <w:widowControl/>
        <w:spacing w:before="0" w:after="40" w:line="240" w:lineRule="auto"/>
        <w:ind w:left="360" w:hanging="360"/>
      </w:pPr>
      <w:r>
        <w:rPr>
          <w:rFonts w:ascii="Liberation Sans" w:hAnsi="Liberation Sans"/>
          <w:b/>
          <w:color w:val="17324D"/>
          <w:sz w:val="18"/>
        </w:rPr>
        <w:t xml:space="preserve">7.  </w:t>
      </w:r>
      <w:r>
        <w:rPr>
          <w:rFonts w:ascii="Liberation Sans" w:hAnsi="Liberation Sans"/>
          <w:color w:val="25313B"/>
          <w:sz w:val="18"/>
        </w:rPr>
        <w:t>Produce structured reviewer dispositions and final approval evidence.</w:t>
      </w:r>
    </w:p>
    <w:p>
      <w:pPr>
        <w:keepNext w:val="0"/>
        <w:keepLines/>
        <w:widowControl/>
        <w:spacing w:before="0" w:after="40" w:line="240" w:lineRule="auto"/>
        <w:ind w:left="360" w:hanging="360"/>
      </w:pPr>
      <w:r>
        <w:rPr>
          <w:rFonts w:ascii="Liberation Sans" w:hAnsi="Liberation Sans"/>
          <w:b/>
          <w:color w:val="17324D"/>
          <w:sz w:val="18"/>
        </w:rPr>
        <w:t xml:space="preserve">8.  </w:t>
      </w:r>
      <w:r>
        <w:rPr>
          <w:rFonts w:ascii="Liberation Sans" w:hAnsi="Liberation Sans"/>
          <w:color w:val="25313B"/>
          <w:sz w:val="18"/>
        </w:rPr>
        <w:t>Link the downstream action to the approved artifact.</w:t>
      </w:r>
    </w:p>
    <w:p>
      <w:pPr>
        <w:keepNext w:val="0"/>
        <w:keepLines/>
        <w:widowControl/>
        <w:spacing w:before="0" w:after="40" w:line="240" w:lineRule="auto"/>
        <w:ind w:left="360" w:hanging="360"/>
      </w:pPr>
      <w:r>
        <w:rPr>
          <w:rFonts w:ascii="Liberation Sans" w:hAnsi="Liberation Sans"/>
          <w:b/>
          <w:color w:val="17324D"/>
          <w:sz w:val="18"/>
        </w:rPr>
        <w:t xml:space="preserve">9.  </w:t>
      </w:r>
      <w:r>
        <w:rPr>
          <w:rFonts w:ascii="Liberation Sans" w:hAnsi="Liberation Sans"/>
          <w:color w:val="25313B"/>
          <w:sz w:val="18"/>
        </w:rPr>
        <w:t>Produce the evidence chain under organization-approved retention and records controls.</w:t>
      </w:r>
    </w:p>
    <w:p>
      <w:pPr>
        <w:keepNext w:val="0"/>
        <w:keepLines w:val="0"/>
        <w:widowControl/>
        <w:spacing w:before="0" w:after="100" w:line="252" w:lineRule="auto"/>
      </w:pPr>
      <w:r>
        <w:rPr>
          <w:rFonts w:ascii="Liberation Sans" w:hAnsi="Liberation Sans"/>
          <w:b/>
          <w:i w:val="0"/>
          <w:color w:val="9A3B3B"/>
          <w:sz w:val="18"/>
        </w:rPr>
        <w:t>A fresh test must report the evidence result that actually exists. Completion of remediation tasks does not itself establish a Stronger evidence posture.</w:t>
      </w:r>
    </w:p>
    <w:p>
      <w:pPr>
        <w:pStyle w:val="Heading2"/>
        <w:keepNext/>
        <w:keepLines/>
        <w:widowControl/>
      </w:pPr>
      <w:r>
        <w:rPr>
          <w:rFonts w:ascii="Liberation Sans" w:hAnsi="Liberation Sans"/>
          <w:b/>
          <w:color w:val="17324D"/>
          <w:sz w:val="26"/>
        </w:rPr>
        <w:t>Consolidated remediation schedule</w:t>
      </w:r>
    </w:p>
    <w:tbl>
      <w:tblPr>
        <w:tblStyle w:val="TableGrid"/>
        <w:tblW w:type="auto" w:w="0"/>
        <w:jc w:val="center"/>
        <w:tblLayout w:type="fixed"/>
        <w:tblLook w:firstColumn="1" w:firstRow="1" w:lastColumn="0" w:lastRow="0" w:noHBand="0" w:noVBand="1" w:val="04A0"/>
      </w:tblPr>
      <w:tblGrid>
        <w:gridCol w:w="2541"/>
        <w:gridCol w:w="2541"/>
        <w:gridCol w:w="2541"/>
        <w:gridCol w:w="2541"/>
      </w:tblGrid>
      <w:tr>
        <w:trPr>
          <w:tblHeader w:val="true"/>
          <w:cantSplit/>
        </w:trPr>
        <w:tc>
          <w:tcPr>
            <w:tcW w:type="dxa" w:w="1944"/>
            <w:shd w:fill="287D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6"/>
              </w:rPr>
              <w:t>Period</w:t>
            </w:r>
          </w:p>
        </w:tc>
        <w:tc>
          <w:tcPr>
            <w:tcW w:type="dxa" w:w="1655"/>
            <w:shd w:fill="287D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6"/>
              </w:rPr>
              <w:t>Remediation</w:t>
            </w:r>
          </w:p>
        </w:tc>
        <w:tc>
          <w:tcPr>
            <w:tcW w:type="dxa" w:w="2304"/>
            <w:shd w:fill="287D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6"/>
              </w:rPr>
              <w:t>Gap linkage</w:t>
            </w:r>
          </w:p>
        </w:tc>
        <w:tc>
          <w:tcPr>
            <w:tcW w:type="dxa" w:w="3960"/>
            <w:shd w:fill="287D7A"/>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6"/>
              </w:rPr>
              <w:t>Owner</w:t>
            </w:r>
          </w:p>
        </w:tc>
      </w:tr>
      <w:tr>
        <w:trPr>
          <w:cantSplit/>
        </w:trPr>
        <w:tc>
          <w:tcPr>
            <w:tcW w:type="dxa" w:w="1944"/>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First 30 days</w:t>
            </w:r>
          </w:p>
        </w:tc>
        <w:tc>
          <w:tcPr>
            <w:tcW w:type="dxa" w:w="1655"/>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REM-01</w:t>
            </w:r>
          </w:p>
        </w:tc>
        <w:tc>
          <w:tcPr>
            <w:tcW w:type="dxa" w:w="2304"/>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GAP-01</w:t>
            </w:r>
          </w:p>
        </w:tc>
        <w:tc>
          <w:tcPr>
            <w:tcW w:type="dxa" w:w="396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OWN-02; OWN-03</w:t>
            </w:r>
          </w:p>
        </w:tc>
      </w:tr>
      <w:tr>
        <w:trPr>
          <w:cantSplit/>
        </w:trPr>
        <w:tc>
          <w:tcPr>
            <w:tcW w:type="dxa" w:w="1944"/>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First 30 days</w:t>
            </w:r>
          </w:p>
        </w:tc>
        <w:tc>
          <w:tcPr>
            <w:tcW w:type="dxa" w:w="1655"/>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REM-05</w:t>
            </w:r>
          </w:p>
        </w:tc>
        <w:tc>
          <w:tcPr>
            <w:tcW w:type="dxa" w:w="2304"/>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GAP-05</w:t>
            </w:r>
          </w:p>
        </w:tc>
        <w:tc>
          <w:tcPr>
            <w:tcW w:type="dxa" w:w="396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OWN-01; OWN-03</w:t>
            </w:r>
          </w:p>
        </w:tc>
      </w:tr>
      <w:tr>
        <w:trPr>
          <w:cantSplit/>
        </w:trPr>
        <w:tc>
          <w:tcPr>
            <w:tcW w:type="dxa" w:w="1944"/>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First 30 days</w:t>
            </w:r>
          </w:p>
        </w:tc>
        <w:tc>
          <w:tcPr>
            <w:tcW w:type="dxa" w:w="1655"/>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REM-07</w:t>
            </w:r>
          </w:p>
        </w:tc>
        <w:tc>
          <w:tcPr>
            <w:tcW w:type="dxa" w:w="2304"/>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GAP-07</w:t>
            </w:r>
          </w:p>
        </w:tc>
        <w:tc>
          <w:tcPr>
            <w:tcW w:type="dxa" w:w="396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OWN-03; OWN-01</w:t>
            </w:r>
          </w:p>
        </w:tc>
      </w:tr>
      <w:tr>
        <w:trPr>
          <w:cantSplit/>
        </w:trPr>
        <w:tc>
          <w:tcPr>
            <w:tcW w:type="dxa" w:w="1944"/>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Days 31–60</w:t>
            </w:r>
          </w:p>
        </w:tc>
        <w:tc>
          <w:tcPr>
            <w:tcW w:type="dxa" w:w="1655"/>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REM-02</w:t>
            </w:r>
          </w:p>
        </w:tc>
        <w:tc>
          <w:tcPr>
            <w:tcW w:type="dxa" w:w="2304"/>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GAP-02</w:t>
            </w:r>
          </w:p>
        </w:tc>
        <w:tc>
          <w:tcPr>
            <w:tcW w:type="dxa" w:w="396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OWN-02; OWN-04</w:t>
            </w:r>
          </w:p>
        </w:tc>
      </w:tr>
      <w:tr>
        <w:trPr>
          <w:cantSplit/>
        </w:trPr>
        <w:tc>
          <w:tcPr>
            <w:tcW w:type="dxa" w:w="1944"/>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Days 31–60</w:t>
            </w:r>
          </w:p>
        </w:tc>
        <w:tc>
          <w:tcPr>
            <w:tcW w:type="dxa" w:w="1655"/>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REM-03</w:t>
            </w:r>
          </w:p>
        </w:tc>
        <w:tc>
          <w:tcPr>
            <w:tcW w:type="dxa" w:w="2304"/>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GAP-03</w:t>
            </w:r>
          </w:p>
        </w:tc>
        <w:tc>
          <w:tcPr>
            <w:tcW w:type="dxa" w:w="396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OWN-03; OWN-01</w:t>
            </w:r>
          </w:p>
        </w:tc>
      </w:tr>
      <w:tr>
        <w:trPr>
          <w:cantSplit/>
        </w:trPr>
        <w:tc>
          <w:tcPr>
            <w:tcW w:type="dxa" w:w="1944"/>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Days 31–60</w:t>
            </w:r>
          </w:p>
        </w:tc>
        <w:tc>
          <w:tcPr>
            <w:tcW w:type="dxa" w:w="1655"/>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REM-06</w:t>
            </w:r>
          </w:p>
        </w:tc>
        <w:tc>
          <w:tcPr>
            <w:tcW w:type="dxa" w:w="2304"/>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GAP-06</w:t>
            </w:r>
          </w:p>
        </w:tc>
        <w:tc>
          <w:tcPr>
            <w:tcW w:type="dxa" w:w="396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OWN-06; OWN-02</w:t>
            </w:r>
          </w:p>
        </w:tc>
      </w:tr>
      <w:tr>
        <w:trPr>
          <w:cantSplit/>
        </w:trPr>
        <w:tc>
          <w:tcPr>
            <w:tcW w:type="dxa" w:w="1944"/>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Days 61–90</w:t>
            </w:r>
          </w:p>
        </w:tc>
        <w:tc>
          <w:tcPr>
            <w:tcW w:type="dxa" w:w="1655"/>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REM-04</w:t>
            </w:r>
          </w:p>
        </w:tc>
        <w:tc>
          <w:tcPr>
            <w:tcW w:type="dxa" w:w="2304"/>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GAP-04</w:t>
            </w:r>
          </w:p>
        </w:tc>
        <w:tc>
          <w:tcPr>
            <w:tcW w:type="dxa" w:w="396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OWN-05</w:t>
            </w:r>
          </w:p>
        </w:tc>
      </w:tr>
      <w:tr>
        <w:trPr>
          <w:cantSplit/>
        </w:trPr>
        <w:tc>
          <w:tcPr>
            <w:tcW w:type="dxa" w:w="1944"/>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Days 61–90</w:t>
            </w:r>
          </w:p>
        </w:tc>
        <w:tc>
          <w:tcPr>
            <w:tcW w:type="dxa" w:w="1655"/>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REM-08</w:t>
            </w:r>
          </w:p>
        </w:tc>
        <w:tc>
          <w:tcPr>
            <w:tcW w:type="dxa" w:w="2304"/>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GAP-01–GAP-07</w:t>
            </w:r>
          </w:p>
        </w:tc>
        <w:tc>
          <w:tcPr>
            <w:tcW w:type="dxa" w:w="396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OWN-03; validated by OWN-07</w:t>
            </w:r>
          </w:p>
        </w:tc>
      </w:tr>
    </w:tbl>
    <w:p>
      <w:pPr>
        <w:widowControl/>
        <w:spacing w:after="20"/>
      </w:pPr>
    </w:p>
    <w:p>
      <w:bookmarkStart w:id="60" w:name="sources"/>
      <w:pPr>
        <w:pStyle w:val="Heading1"/>
        <w:keepNext/>
        <w:keepLines/>
        <w:pageBreakBefore/>
        <w:widowControl/>
      </w:pPr>
      <w:r>
        <w:rPr>
          <w:rFonts w:ascii="Liberation Sans" w:hAnsi="Liberation Sans"/>
          <w:b/>
          <w:color w:val="17324D"/>
          <w:sz w:val="36"/>
        </w:rPr>
        <w:t>Sources and next steps</w:t>
      </w:r>
      <w:bookmarkEnd w:id="60"/>
    </w:p>
    <w:p>
      <w:pPr>
        <w:keepNext w:val="0"/>
        <w:keepLines w:val="0"/>
        <w:widowControl/>
        <w:spacing w:before="0" w:after="100" w:line="252" w:lineRule="auto"/>
      </w:pPr>
      <w:r>
        <w:rPr>
          <w:rFonts w:ascii="Liberation Sans" w:hAnsi="Liberation Sans"/>
          <w:b w:val="0"/>
          <w:i w:val="0"/>
          <w:color w:val="5E6A73"/>
          <w:sz w:val="18"/>
        </w:rPr>
        <w:t>The following sources provide the narrow regulatory and voluntary risk-management context cited in this packet. They are not Audit Grill-Me scoring criteria and do not create a compliance conclusion.</w:t>
      </w:r>
    </w:p>
    <w:p>
      <w:pPr>
        <w:keepNext/>
        <w:keepLines w:val="0"/>
        <w:widowControl/>
        <w:spacing w:before="0" w:after="40" w:line="252" w:lineRule="auto"/>
      </w:pPr>
      <w:bookmarkStart w:id="201" w:name="source1"/>
      <w:r>
        <w:t xml:space="preserve">1. </w:t>
      </w:r>
      <w:hyperlink r:id="rId15">
        <w:r>
          <w:rPr>
            <w:rStyle w:val="Hyperlink"/>
          </w:rPr>
          <w:t>Invariant Engineering — Audit Grill-Me methodology</w:t>
        </w:r>
      </w:hyperlink>
      <w:bookmarkEnd w:id="201"/>
    </w:p>
    <w:p>
      <w:pPr>
        <w:keepNext w:val="0"/>
        <w:keepLines/>
        <w:widowControl/>
        <w:spacing w:before="0" w:after="120" w:line="252" w:lineRule="auto"/>
        <w:ind w:left="331"/>
      </w:pPr>
      <w:r>
        <w:t>Eight evidence elements and evidence-first reconstruction method.</w:t>
      </w:r>
    </w:p>
    <w:p>
      <w:pPr>
        <w:keepNext/>
        <w:keepLines w:val="0"/>
        <w:widowControl/>
        <w:spacing w:before="0" w:after="40" w:line="252" w:lineRule="auto"/>
      </w:pPr>
      <w:bookmarkStart w:id="202" w:name="source2"/>
      <w:r>
        <w:t xml:space="preserve">2. </w:t>
      </w:r>
      <w:hyperlink r:id="rId16">
        <w:r>
          <w:rPr>
            <w:rStyle w:val="Hyperlink"/>
          </w:rPr>
          <w:t>Invariant Engineering — Audit Grill-Me worksheet</w:t>
        </w:r>
      </w:hyperlink>
      <w:bookmarkEnd w:id="202"/>
    </w:p>
    <w:p>
      <w:pPr>
        <w:keepNext w:val="0"/>
        <w:keepLines/>
        <w:widowControl/>
        <w:spacing w:before="0" w:after="120" w:line="252" w:lineRule="auto"/>
        <w:ind w:left="331"/>
      </w:pPr>
      <w:r>
        <w:t>Public evidence-readiness scoring bands.</w:t>
      </w:r>
    </w:p>
    <w:p>
      <w:pPr>
        <w:keepNext/>
        <w:keepLines w:val="0"/>
        <w:widowControl/>
        <w:spacing w:before="0" w:after="40" w:line="252" w:lineRule="auto"/>
      </w:pPr>
      <w:bookmarkStart w:id="203" w:name="source3"/>
      <w:r>
        <w:t xml:space="preserve">3. </w:t>
      </w:r>
      <w:hyperlink r:id="rId24">
        <w:r>
          <w:rPr>
            <w:rStyle w:val="Hyperlink"/>
          </w:rPr>
          <w:t>Invariant Engineering — Audit Grill-Me Sprint engagement details</w:t>
        </w:r>
      </w:hyperlink>
      <w:bookmarkEnd w:id="203"/>
    </w:p>
    <w:p>
      <w:pPr>
        <w:keepNext w:val="0"/>
        <w:keepLines/>
        <w:widowControl/>
        <w:spacing w:before="0" w:after="120" w:line="252" w:lineRule="auto"/>
        <w:ind w:left="331"/>
      </w:pPr>
      <w:r>
        <w:t>Public engagement scope, pricing, duration, and deliverables.</w:t>
      </w:r>
    </w:p>
    <w:p>
      <w:pPr>
        <w:keepNext/>
        <w:keepLines w:val="0"/>
        <w:widowControl/>
        <w:spacing w:before="0" w:after="40" w:line="252" w:lineRule="auto"/>
      </w:pPr>
      <w:bookmarkStart w:id="204" w:name="source4"/>
      <w:r>
        <w:t xml:space="preserve">4. </w:t>
      </w:r>
      <w:hyperlink r:id="rId17">
        <w:r>
          <w:rPr>
            <w:rStyle w:val="Hyperlink"/>
          </w:rPr>
          <w:t>Consumer Financial Protection Bureau — Equal Credit Opportunity Act (Regulation B)</w:t>
        </w:r>
      </w:hyperlink>
      <w:bookmarkEnd w:id="204"/>
    </w:p>
    <w:p>
      <w:pPr>
        <w:keepNext w:val="0"/>
        <w:keepLines/>
        <w:widowControl/>
        <w:spacing w:before="0" w:after="120" w:line="252" w:lineRule="auto"/>
        <w:ind w:left="331"/>
      </w:pPr>
      <w:r>
        <w:t>Narrow context for why a commercial-credit workflow may be audit-sensitive.</w:t>
      </w:r>
    </w:p>
    <w:p>
      <w:pPr>
        <w:keepNext/>
        <w:keepLines w:val="0"/>
        <w:widowControl/>
        <w:spacing w:before="0" w:after="40" w:line="252" w:lineRule="auto"/>
      </w:pPr>
      <w:bookmarkStart w:id="205" w:name="source5"/>
      <w:r>
        <w:t xml:space="preserve">5. </w:t>
      </w:r>
      <w:hyperlink r:id="rId18">
        <w:r>
          <w:rPr>
            <w:rStyle w:val="Hyperlink"/>
          </w:rPr>
          <w:t>Consumer Financial Protection Bureau — Withdrawn Guidance</w:t>
        </w:r>
      </w:hyperlink>
      <w:bookmarkEnd w:id="205"/>
    </w:p>
    <w:p>
      <w:pPr>
        <w:keepNext w:val="0"/>
        <w:keepLines/>
        <w:widowControl/>
        <w:spacing w:before="0" w:after="120" w:line="252" w:lineRule="auto"/>
        <w:ind w:left="331"/>
      </w:pPr>
      <w:r>
        <w:t>Official record showing CFPB Circular 2022-03 was withdrawn on May 12, 2025.</w:t>
      </w:r>
    </w:p>
    <w:p>
      <w:pPr>
        <w:keepNext/>
        <w:keepLines w:val="0"/>
        <w:widowControl/>
        <w:spacing w:before="0" w:after="40" w:line="252" w:lineRule="auto"/>
      </w:pPr>
      <w:bookmarkStart w:id="206" w:name="source6"/>
      <w:r>
        <w:t xml:space="preserve">6. </w:t>
      </w:r>
      <w:hyperlink r:id="rId19">
        <w:r>
          <w:rPr>
            <w:rStyle w:val="Hyperlink"/>
          </w:rPr>
          <w:t>Federal Reserve — SR 26-2: Revised Guidance on Model Risk Management</w:t>
        </w:r>
      </w:hyperlink>
      <w:bookmarkEnd w:id="206"/>
    </w:p>
    <w:p>
      <w:pPr>
        <w:keepNext w:val="0"/>
        <w:keepLines/>
        <w:widowControl/>
        <w:spacing w:before="0" w:after="120" w:line="252" w:lineRule="auto"/>
        <w:ind w:left="331"/>
      </w:pPr>
      <w:r>
        <w:t>Contextual governance source; no applicability conclusion.</w:t>
      </w:r>
    </w:p>
    <w:p>
      <w:pPr>
        <w:keepNext/>
        <w:keepLines w:val="0"/>
        <w:widowControl/>
        <w:spacing w:before="0" w:after="40" w:line="252" w:lineRule="auto"/>
      </w:pPr>
      <w:bookmarkStart w:id="207" w:name="source7"/>
      <w:r>
        <w:t xml:space="preserve">7. </w:t>
      </w:r>
      <w:hyperlink r:id="rId20">
        <w:r>
          <w:rPr>
            <w:rStyle w:val="Hyperlink"/>
          </w:rPr>
          <w:t>NIST — Artificial Intelligence Risk Management Framework (AI RMF 1.0), NIST AI 100-1</w:t>
        </w:r>
      </w:hyperlink>
      <w:bookmarkEnd w:id="207"/>
    </w:p>
    <w:p>
      <w:pPr>
        <w:keepNext w:val="0"/>
        <w:keepLines/>
        <w:widowControl/>
        <w:spacing w:before="0" w:after="120" w:line="252" w:lineRule="auto"/>
        <w:ind w:left="331"/>
      </w:pPr>
      <w:r>
        <w:t>Voluntary AI risk-management framework.</w:t>
      </w:r>
    </w:p>
    <w:p>
      <w:pPr/>
      <w:bookmarkStart w:id="208" w:name="source8"/>
      <w:r>
        <w:t xml:space="preserve">8. </w:t>
      </w:r>
      <w:hyperlink r:id="rId21">
        <w:r>
          <w:rPr>
            <w:rStyle w:val="Hyperlink"/>
          </w:rPr>
          <w:t>NIST — Artificial Intelligence Risk Management Framework: Generative Artificial Intelligence Profile, NIST AI 600-1</w:t>
        </w:r>
      </w:hyperlink>
      <w:bookmarkEnd w:id="208"/>
    </w:p>
    <w:p>
      <w:pPr/>
      <w:r>
        <w:t>Voluntary cross-sectoral companion profile for generative AI.</w:t>
      </w:r>
    </w:p>
    <w:p>
      <w:pPr>
        <w:pStyle w:val="Heading2"/>
        <w:keepNext/>
        <w:keepLines/>
        <w:widowControl/>
      </w:pPr>
      <w:r>
        <w:rPr>
          <w:rFonts w:ascii="Liberation Sans" w:hAnsi="Liberation Sans"/>
          <w:b/>
          <w:color w:val="17324D"/>
          <w:sz w:val="26"/>
        </w:rPr>
        <w:t>Next steps</w:t>
      </w:r>
    </w:p>
    <w:tbl>
      <w:tblPr>
        <w:tblW w:type="auto" w:w="0"/>
        <w:jc w:val="center"/>
        <w:tblLayout w:type="fixed"/>
        <w:tblLook w:firstColumn="1" w:firstRow="1" w:lastColumn="0" w:lastRow="0" w:noHBand="0" w:noVBand="1" w:val="04A0"/>
      </w:tblPr>
      <w:tblGrid>
        <w:gridCol w:w="10166"/>
      </w:tblGrid>
      <w:tr>
        <w:tc>
          <w:tcPr>
            <w:tcW w:type="dxa" w:w="9864"/>
            <w:shd w:fill="DCEFED"/>
            <w:tcMar>
              <w:top w:w="150" w:type="dxa"/>
              <w:start w:w="180" w:type="dxa"/>
              <w:bottom w:w="150" w:type="dxa"/>
              <w:end w:w="180" w:type="dxa"/>
            </w:tcMar>
          </w:tcPr>
          <w:p>
            <w:pPr>
              <w:keepNext w:val="0"/>
              <w:keepLines/>
              <w:widowControl/>
              <w:spacing w:before="0" w:after="40" w:line="252" w:lineRule="auto"/>
              <w:jc w:val="center"/>
            </w:pPr>
            <w:hyperlink r:id="rId22">
              <w:r>
                <w:rPr>
                  <w:rFonts w:ascii="Liberation Sans" w:hAnsi="Liberation Sans"/>
                  <w:color w:val="287D7A"/>
                  <w:u w:val="single"/>
                </w:rPr>
                <w:t>View engagement details →</w:t>
              </w:r>
            </w:hyperlink>
          </w:p>
          <w:p>
            <w:pPr>
              <w:jc w:val="center"/>
            </w:pPr>
            <w:r>
              <w:rPr>
                <w:rFonts w:ascii="DejaVu Sans Mono" w:hAnsi="DejaVu Sans Mono"/>
                <w:color w:val="5E6A73"/>
                <w:sz w:val="16"/>
              </w:rPr>
              <w:t>/engagements</w:t>
            </w:r>
          </w:p>
        </w:tc>
      </w:tr>
      <w:tr>
        <w:tc>
          <w:tcPr>
            <w:tcW w:type="dxa" w:w="9864"/>
            <w:shd w:fill="DCEFED"/>
            <w:tcMar>
              <w:top w:w="150" w:type="dxa"/>
              <w:start w:w="180" w:type="dxa"/>
              <w:bottom w:w="150" w:type="dxa"/>
              <w:end w:w="180" w:type="dxa"/>
            </w:tcMar>
          </w:tcPr>
          <w:p>
            <w:pPr>
              <w:keepNext w:val="0"/>
              <w:keepLines/>
              <w:widowControl/>
              <w:spacing w:before="0" w:after="40" w:line="252" w:lineRule="auto"/>
              <w:jc w:val="center"/>
            </w:pPr>
            <w:hyperlink r:id="rId15">
              <w:r>
                <w:rPr>
                  <w:rFonts w:ascii="Liberation Sans" w:hAnsi="Liberation Sans"/>
                  <w:color w:val="287D7A"/>
                  <w:u w:val="single"/>
                </w:rPr>
                <w:t>Review the methodology →</w:t>
              </w:r>
            </w:hyperlink>
          </w:p>
          <w:p>
            <w:pPr>
              <w:jc w:val="center"/>
            </w:pPr>
            <w:r>
              <w:rPr>
                <w:rFonts w:ascii="DejaVu Sans Mono" w:hAnsi="DejaVu Sans Mono"/>
                <w:color w:val="5E6A73"/>
                <w:sz w:val="16"/>
              </w:rPr>
              <w:t>/audit-grill-me-methodology</w:t>
            </w:r>
          </w:p>
        </w:tc>
      </w:tr>
      <w:tr>
        <w:tc>
          <w:tcPr>
            <w:tcW w:type="dxa" w:w="9864"/>
            <w:shd w:fill="DCEFED"/>
            <w:tcMar>
              <w:top w:w="150" w:type="dxa"/>
              <w:start w:w="180" w:type="dxa"/>
              <w:bottom w:w="150" w:type="dxa"/>
              <w:end w:w="180" w:type="dxa"/>
            </w:tcMar>
          </w:tcPr>
          <w:p>
            <w:pPr>
              <w:keepNext w:val="0"/>
              <w:keepLines/>
              <w:widowControl/>
              <w:spacing w:before="0" w:after="40" w:line="252" w:lineRule="auto"/>
              <w:jc w:val="center"/>
            </w:pPr>
            <w:hyperlink r:id="rId23">
              <w:r>
                <w:rPr>
                  <w:rFonts w:ascii="Liberation Sans" w:hAnsi="Liberation Sans"/>
                  <w:color w:val="287D7A"/>
                  <w:u w:val="single"/>
                </w:rPr>
                <w:t>Apply for a fit review →</w:t>
              </w:r>
            </w:hyperlink>
          </w:p>
          <w:p>
            <w:pPr>
              <w:jc w:val="center"/>
            </w:pPr>
            <w:r>
              <w:rPr>
                <w:rFonts w:ascii="DejaVu Sans Mono" w:hAnsi="DejaVu Sans Mono"/>
                <w:color w:val="5E6A73"/>
                <w:sz w:val="16"/>
              </w:rPr>
              <w:t>/apply?source=engagements&amp;intent=audit-grill-me-sprint</w:t>
            </w:r>
          </w:p>
        </w:tc>
      </w:tr>
    </w:tbl>
    <w:p>
      <w:pPr>
        <w:widowControl/>
        <w:sectPr>
          <w:footerReference w:type="default" r:id="rId9"/>
          <w:headerReference w:type="default" r:id="rId10"/>
          <w:pgSz w:w="12240" w:h="15840"/>
          <w:pgMar w:top="936" w:right="1037" w:bottom="936" w:left="1037" w:header="360" w:footer="360" w:gutter="0"/>
          <w:cols w:space="720"/>
          <w:titlePg/>
          <w:docGrid w:linePitch="360"/>
        </w:sectPr>
      </w:pPr>
    </w:p>
    <w:p>
      <w:bookmarkStart w:id="70" w:name="appendixA"/>
      <w:pPr>
        <w:pStyle w:val="Heading1"/>
        <w:keepNext/>
        <w:keepLines/>
        <w:widowControl/>
      </w:pPr>
      <w:r>
        <w:rPr>
          <w:rFonts w:ascii="Liberation Sans" w:hAnsi="Liberation Sans"/>
          <w:b/>
          <w:color w:val="17324D"/>
          <w:sz w:val="36"/>
        </w:rPr>
        <w:t>Appendix A — Detailed workflow-stage evidence map</w:t>
      </w:r>
      <w:bookmarkEnd w:id="70"/>
    </w:p>
    <w:p>
      <w:pPr>
        <w:keepNext w:val="0"/>
        <w:keepLines w:val="0"/>
        <w:widowControl/>
        <w:spacing w:before="0" w:after="100" w:line="252" w:lineRule="auto"/>
      </w:pPr>
      <w:r>
        <w:rPr>
          <w:rFonts w:ascii="Liberation Sans" w:hAnsi="Liberation Sans"/>
          <w:b w:val="0"/>
          <w:i/>
          <w:color w:val="5E6A73"/>
          <w:sz w:val="18"/>
        </w:rPr>
        <w:t>The original 16-stage evidence map is split into four smaller landscape tables. Every field is synthetic.</w:t>
      </w:r>
    </w:p>
    <w:p>
      <w:pPr>
        <w:pStyle w:val="Heading2"/>
        <w:keepNext/>
        <w:keepLines/>
        <w:widowControl/>
      </w:pPr>
      <w:r>
        <w:rPr>
          <w:rFonts w:ascii="Liberation Sans" w:hAnsi="Liberation Sans"/>
          <w:b/>
          <w:color w:val="17324D"/>
          <w:sz w:val="26"/>
        </w:rPr>
        <w:t>Workflow stages 1–4</w:t>
      </w:r>
    </w:p>
    <w:tbl>
      <w:tblPr>
        <w:tblStyle w:val="TableGrid"/>
        <w:tblW w:type="auto" w:w="0"/>
        <w:jc w:val="center"/>
        <w:tblLayout w:type="fixed"/>
        <w:tblLook w:firstColumn="1" w:firstRow="1" w:lastColumn="0" w:lastRow="0" w:noHBand="0" w:noVBand="1" w:val="04A0"/>
      </w:tblPr>
      <w:tblGrid>
        <w:gridCol w:w="3564"/>
        <w:gridCol w:w="3564"/>
        <w:gridCol w:w="3564"/>
        <w:gridCol w:w="3564"/>
      </w:tblGrid>
      <w:tr>
        <w:trPr>
          <w:tblHeader w:val="true"/>
          <w:cantSplit/>
        </w:trPr>
        <w:tc>
          <w:tcPr>
            <w:tcW w:type="dxa" w:w="3096"/>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6"/>
              </w:rPr>
              <w:t>Stage and record</w:t>
            </w:r>
          </w:p>
        </w:tc>
        <w:tc>
          <w:tcPr>
            <w:tcW w:type="dxa" w:w="5760"/>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6"/>
              </w:rPr>
              <w:t>Expected and observed evidence</w:t>
            </w:r>
          </w:p>
        </w:tc>
        <w:tc>
          <w:tcPr>
            <w:tcW w:type="dxa" w:w="3528"/>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6"/>
              </w:rPr>
              <w:t>System / owner / linkage</w:t>
            </w:r>
          </w:p>
        </w:tc>
        <w:tc>
          <w:tcPr>
            <w:tcW w:type="dxa" w:w="2880"/>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6"/>
              </w:rPr>
              <w:t>Integrity and status</w:t>
            </w:r>
          </w:p>
        </w:tc>
      </w:tr>
      <w:tr>
        <w:trPr>
          <w:cantSplit/>
        </w:trPr>
        <w:tc>
          <w:tcPr>
            <w:tcW w:type="dxa" w:w="309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1. Request initiated</w:t>
              <w:br/>
              <w:t>SYN-APP-0042</w:t>
            </w:r>
          </w:p>
        </w:tc>
        <w:tc>
          <w:tcPr>
            <w:tcW w:type="dxa" w:w="576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Expected: Request ID, requester, amount, term, timestamp</w:t>
              <w:br/>
              <w:br/>
              <w:t>Observed: Request record with direct transaction link</w:t>
            </w:r>
          </w:p>
        </w:tc>
        <w:tc>
          <w:tcPr>
            <w:tcW w:type="dxa" w:w="352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SYN-SYS-01 / OWN-01</w:t>
              <w:br/>
              <w:t>Linkage: Direct</w:t>
            </w:r>
          </w:p>
        </w:tc>
        <w:tc>
          <w:tcPr>
            <w:tcW w:type="dxa" w:w="288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Integrity: No material conflict</w:t>
              <w:br/>
              <w:br/>
              <w:t>Status: Complete</w:t>
            </w:r>
          </w:p>
        </w:tc>
      </w:tr>
      <w:tr>
        <w:trPr>
          <w:cantSplit/>
        </w:trPr>
        <w:tc>
          <w:tcPr>
            <w:tcW w:type="dxa" w:w="309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2. Financial inputs prepared</w:t>
              <w:br/>
              <w:t>SYN-INP-0042-01</w:t>
            </w:r>
          </w:p>
        </w:tc>
        <w:tc>
          <w:tcPr>
            <w:tcW w:type="dxa" w:w="576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Expected: Frozen structured snapshot, source date, ratios</w:t>
              <w:br/>
              <w:br/>
              <w:t>Observed: Snapshot with revenue, EBITDA, debt, coverage, concentration, aging</w:t>
            </w:r>
          </w:p>
        </w:tc>
        <w:tc>
          <w:tcPr>
            <w:tcW w:type="dxa" w:w="352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SYN-SYS-02 / OWN-01</w:t>
              <w:br/>
              <w:t>Linkage: Direct</w:t>
            </w:r>
          </w:p>
        </w:tc>
        <w:tc>
          <w:tcPr>
            <w:tcW w:type="dxa" w:w="288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Integrity: No conflict within snapshot</w:t>
              <w:br/>
              <w:br/>
              <w:t>Status: Complete</w:t>
            </w:r>
          </w:p>
        </w:tc>
      </w:tr>
      <w:tr>
        <w:trPr>
          <w:cantSplit/>
        </w:trPr>
        <w:tc>
          <w:tcPr>
            <w:tcW w:type="dxa" w:w="309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3. Narrative input prepared</w:t>
              <w:br/>
              <w:t>SYN-INP-0042-02</w:t>
            </w:r>
          </w:p>
        </w:tc>
        <w:tc>
          <w:tcPr>
            <w:tcW w:type="dxa" w:w="576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Expected: Frozen relationship narrative and timestamp</w:t>
              <w:br/>
              <w:br/>
              <w:t>Observed: Narrative contains older 28% concentration value</w:t>
            </w:r>
          </w:p>
        </w:tc>
        <w:tc>
          <w:tcPr>
            <w:tcW w:type="dxa" w:w="352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SYN-SYS-03 / OWN-01</w:t>
              <w:br/>
              <w:t>Linkage: Direct</w:t>
            </w:r>
          </w:p>
        </w:tc>
        <w:tc>
          <w:tcPr>
            <w:tcW w:type="dxa" w:w="288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Integrity: Conflicts with 31% dated snapshot</w:t>
              <w:br/>
              <w:br/>
              <w:t>Status: Complete as input; conflict unresolved</w:t>
            </w:r>
          </w:p>
        </w:tc>
      </w:tr>
      <w:tr>
        <w:trPr>
          <w:cantSplit/>
        </w:trPr>
        <w:tc>
          <w:tcPr>
            <w:tcW w:type="dxa" w:w="309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4. Prompt selected</w:t>
              <w:br/>
              <w:t>SYN-PRM-CM-3.4.2</w:t>
            </w:r>
          </w:p>
        </w:tc>
        <w:tc>
          <w:tcPr>
            <w:tcW w:type="dxa" w:w="576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Expected: Template, system instruction, app version, field references</w:t>
              <w:br/>
              <w:br/>
              <w:t>Observed: Template and instructions recovered</w:t>
            </w:r>
          </w:p>
        </w:tc>
        <w:tc>
          <w:tcPr>
            <w:tcW w:type="dxa" w:w="352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SYN-SYS-03 / OWN-03</w:t>
              <w:br/>
              <w:t>Linkage: Linked to run</w:t>
            </w:r>
          </w:p>
        </w:tc>
        <w:tc>
          <w:tcPr>
            <w:tcW w:type="dxa" w:w="288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Integrity: Template integrity supportable</w:t>
              <w:br/>
              <w:br/>
              <w:t>Status: Complete</w:t>
            </w:r>
          </w:p>
        </w:tc>
      </w:tr>
    </w:tbl>
    <w:p>
      <w:pPr>
        <w:widowControl/>
        <w:spacing w:after="20"/>
      </w:pPr>
    </w:p>
    <w:p>
      <w:pPr>
        <w:widowControl/>
      </w:pPr>
      <w:r>
        <w:br w:type="page"/>
      </w:r>
    </w:p>
    <w:p>
      <w:pPr>
        <w:pStyle w:val="Heading2"/>
        <w:keepNext/>
        <w:keepLines/>
        <w:widowControl/>
      </w:pPr>
      <w:r>
        <w:rPr>
          <w:rFonts w:ascii="Liberation Sans" w:hAnsi="Liberation Sans"/>
          <w:b/>
          <w:color w:val="17324D"/>
          <w:sz w:val="26"/>
        </w:rPr>
        <w:t>Workflow stages 5–8</w:t>
      </w:r>
    </w:p>
    <w:tbl>
      <w:tblPr>
        <w:tblStyle w:val="TableGrid"/>
        <w:tblW w:type="auto" w:w="0"/>
        <w:jc w:val="center"/>
        <w:tblLayout w:type="fixed"/>
        <w:tblLook w:firstColumn="1" w:firstRow="1" w:lastColumn="0" w:lastRow="0" w:noHBand="0" w:noVBand="1" w:val="04A0"/>
      </w:tblPr>
      <w:tblGrid>
        <w:gridCol w:w="3564"/>
        <w:gridCol w:w="3564"/>
        <w:gridCol w:w="3564"/>
        <w:gridCol w:w="3564"/>
      </w:tblGrid>
      <w:tr>
        <w:trPr>
          <w:tblHeader w:val="true"/>
          <w:cantSplit/>
        </w:trPr>
        <w:tc>
          <w:tcPr>
            <w:tcW w:type="dxa" w:w="3096"/>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6"/>
              </w:rPr>
              <w:t>Stage and record</w:t>
            </w:r>
          </w:p>
        </w:tc>
        <w:tc>
          <w:tcPr>
            <w:tcW w:type="dxa" w:w="5760"/>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6"/>
              </w:rPr>
              <w:t>Expected and observed evidence</w:t>
            </w:r>
          </w:p>
        </w:tc>
        <w:tc>
          <w:tcPr>
            <w:tcW w:type="dxa" w:w="3528"/>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6"/>
              </w:rPr>
              <w:t>System / owner / linkage</w:t>
            </w:r>
          </w:p>
        </w:tc>
        <w:tc>
          <w:tcPr>
            <w:tcW w:type="dxa" w:w="2880"/>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6"/>
              </w:rPr>
              <w:t>Integrity and status</w:t>
            </w:r>
          </w:p>
        </w:tc>
      </w:tr>
      <w:tr>
        <w:trPr>
          <w:cantSplit/>
        </w:trPr>
        <w:tc>
          <w:tcPr>
            <w:tcW w:type="dxa" w:w="309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5. Prompt rendered</w:t>
              <w:br/>
              <w:t>Runtime prompt</w:t>
            </w:r>
          </w:p>
        </w:tc>
        <w:tc>
          <w:tcPr>
            <w:tcW w:type="dxa" w:w="576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Expected: Exact assembled prompt and values</w:t>
              <w:br/>
              <w:br/>
              <w:t>Observed: Exact rendered prompt not retained</w:t>
            </w:r>
          </w:p>
        </w:tc>
        <w:tc>
          <w:tcPr>
            <w:tcW w:type="dxa" w:w="352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SYN-SYS-03 / OWN-02, OWN-03</w:t>
              <w:br/>
              <w:t>Linkage: Partially inferable</w:t>
            </w:r>
          </w:p>
        </w:tc>
        <w:tc>
          <w:tcPr>
            <w:tcW w:type="dxa" w:w="288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Integrity: Field order and conflict presentation cannot be proven</w:t>
              <w:br/>
              <w:br/>
              <w:t>Status: Missing</w:t>
            </w:r>
          </w:p>
        </w:tc>
      </w:tr>
      <w:tr>
        <w:trPr>
          <w:cantSplit/>
        </w:trPr>
        <w:tc>
          <w:tcPr>
            <w:tcW w:type="dxa" w:w="309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6. Policies retrieved</w:t>
              <w:br/>
              <w:t>SYN-RET-0042-01</w:t>
            </w:r>
          </w:p>
        </w:tc>
        <w:tc>
          <w:tcPr>
            <w:tcW w:type="dxa" w:w="576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Expected: Corpus, documents, chunks, ranks, scores, order</w:t>
              <w:br/>
              <w:br/>
              <w:t>Observed: Corpus and policy versions recovered; exact chunks and ranking absent</w:t>
            </w:r>
          </w:p>
        </w:tc>
        <w:tc>
          <w:tcPr>
            <w:tcW w:type="dxa" w:w="352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SYN-SYS-05 / OWN-02, OWN-04</w:t>
              <w:br/>
              <w:t>Linkage: Partial</w:t>
            </w:r>
          </w:p>
        </w:tc>
        <w:tc>
          <w:tcPr>
            <w:tcW w:type="dxa" w:w="288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Integrity: Exact model context cannot be reproduced</w:t>
              <w:br/>
              <w:br/>
              <w:t>Status: Partial</w:t>
            </w:r>
          </w:p>
        </w:tc>
      </w:tr>
      <w:tr>
        <w:trPr>
          <w:cantSplit/>
        </w:trPr>
        <w:tc>
          <w:tcPr>
            <w:tcW w:type="dxa" w:w="309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7. Model invoked</w:t>
              <w:br/>
              <w:t>SYN-INV-20260112-100518-0042</w:t>
            </w:r>
          </w:p>
        </w:tc>
        <w:tc>
          <w:tcPr>
            <w:tcW w:type="dxa" w:w="576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Expected: Provider code, revision, deployment, config, timestamp, link</w:t>
              <w:br/>
              <w:br/>
              <w:t>Observed: All invocation details recovered</w:t>
            </w:r>
          </w:p>
        </w:tc>
        <w:tc>
          <w:tcPr>
            <w:tcW w:type="dxa" w:w="352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SYN-SYS-06 / OWN-02</w:t>
              <w:br/>
              <w:t>Linkage: Direct</w:t>
            </w:r>
          </w:p>
        </w:tc>
        <w:tc>
          <w:tcPr>
            <w:tcW w:type="dxa" w:w="288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Integrity: Not directly linked to inventory/change approval</w:t>
              <w:br/>
              <w:br/>
              <w:t>Status: Complete with governance weakness</w:t>
            </w:r>
          </w:p>
        </w:tc>
      </w:tr>
      <w:tr>
        <w:trPr>
          <w:cantSplit/>
        </w:trPr>
        <w:tc>
          <w:tcPr>
            <w:tcW w:type="dxa" w:w="309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8. Original output generated</w:t>
              <w:br/>
              <w:t>SYN-OUT-0042-V0</w:t>
            </w:r>
          </w:p>
        </w:tc>
        <w:tc>
          <w:tcPr>
            <w:tcW w:type="dxa" w:w="576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Expected: Complete unedited response, timestamp, invocation link</w:t>
              <w:br/>
              <w:br/>
              <w:t>Observed: Complete unedited response, timestamp, and invocation link were produced.</w:t>
            </w:r>
          </w:p>
        </w:tc>
        <w:tc>
          <w:tcPr>
            <w:tcW w:type="dxa" w:w="352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SYN-SYS-06 / OWN-02</w:t>
              <w:br/>
              <w:t>Linkage: Direct</w:t>
            </w:r>
          </w:p>
        </w:tc>
        <w:tc>
          <w:tcPr>
            <w:tcW w:type="dxa" w:w="288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Integrity: No content digest is published</w:t>
              <w:br/>
              <w:br/>
              <w:t>Status: Complete</w:t>
            </w:r>
          </w:p>
        </w:tc>
      </w:tr>
    </w:tbl>
    <w:p>
      <w:pPr>
        <w:widowControl/>
        <w:spacing w:after="20"/>
      </w:pPr>
    </w:p>
    <w:p>
      <w:pPr>
        <w:widowControl/>
      </w:pPr>
      <w:r>
        <w:br w:type="page"/>
      </w:r>
    </w:p>
    <w:p>
      <w:pPr>
        <w:pStyle w:val="Heading2"/>
        <w:keepNext/>
        <w:keepLines/>
        <w:widowControl/>
      </w:pPr>
      <w:r>
        <w:rPr>
          <w:rFonts w:ascii="Liberation Sans" w:hAnsi="Liberation Sans"/>
          <w:b/>
          <w:color w:val="17324D"/>
          <w:sz w:val="26"/>
        </w:rPr>
        <w:t>Workflow stages 9–12</w:t>
      </w:r>
    </w:p>
    <w:tbl>
      <w:tblPr>
        <w:tblStyle w:val="TableGrid"/>
        <w:tblW w:type="auto" w:w="0"/>
        <w:jc w:val="center"/>
        <w:tblLayout w:type="fixed"/>
        <w:tblLook w:firstColumn="1" w:firstRow="1" w:lastColumn="0" w:lastRow="0" w:noHBand="0" w:noVBand="1" w:val="04A0"/>
      </w:tblPr>
      <w:tblGrid>
        <w:gridCol w:w="3564"/>
        <w:gridCol w:w="3564"/>
        <w:gridCol w:w="3564"/>
        <w:gridCol w:w="3564"/>
      </w:tblGrid>
      <w:tr>
        <w:trPr>
          <w:tblHeader w:val="true"/>
          <w:cantSplit/>
        </w:trPr>
        <w:tc>
          <w:tcPr>
            <w:tcW w:type="dxa" w:w="3096"/>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6"/>
              </w:rPr>
              <w:t>Stage and record</w:t>
            </w:r>
          </w:p>
        </w:tc>
        <w:tc>
          <w:tcPr>
            <w:tcW w:type="dxa" w:w="5760"/>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6"/>
              </w:rPr>
              <w:t>Expected and observed evidence</w:t>
            </w:r>
          </w:p>
        </w:tc>
        <w:tc>
          <w:tcPr>
            <w:tcW w:type="dxa" w:w="3528"/>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6"/>
              </w:rPr>
              <w:t>System / owner / linkage</w:t>
            </w:r>
          </w:p>
        </w:tc>
        <w:tc>
          <w:tcPr>
            <w:tcW w:type="dxa" w:w="2880"/>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6"/>
              </w:rPr>
              <w:t>Integrity and status</w:t>
            </w:r>
          </w:p>
        </w:tc>
      </w:tr>
      <w:tr>
        <w:trPr>
          <w:cantSplit/>
        </w:trPr>
        <w:tc>
          <w:tcPr>
            <w:tcW w:type="dxa" w:w="309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9. Analyst review begins</w:t>
              <w:br/>
              <w:t>SYN-REV-0042-01</w:t>
            </w:r>
          </w:p>
        </w:tc>
        <w:tc>
          <w:tcPr>
            <w:tcW w:type="dxa" w:w="576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Expected: Reviewer, displayed version, timestamp, review activity</w:t>
              <w:br/>
              <w:br/>
              <w:t>Observed: Reviewer identity and displayed version recovered</w:t>
            </w:r>
          </w:p>
        </w:tc>
        <w:tc>
          <w:tcPr>
            <w:tcW w:type="dxa" w:w="352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SYN-SYS-03 / OWN-01, OWN-03</w:t>
              <w:br/>
              <w:t>Linkage: Direct</w:t>
            </w:r>
          </w:p>
        </w:tc>
        <w:tc>
          <w:tcPr>
            <w:tcW w:type="dxa" w:w="288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Integrity: No structured disposition for every assertion</w:t>
              <w:br/>
              <w:br/>
              <w:t>Status: Complete with review weakness</w:t>
            </w:r>
          </w:p>
        </w:tc>
      </w:tr>
      <w:tr>
        <w:trPr>
          <w:cantSplit/>
        </w:trPr>
        <w:tc>
          <w:tcPr>
            <w:tcW w:type="dxa" w:w="309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10. Analyst edits output</w:t>
              <w:br/>
              <w:t>SYN-MEMO-0042-V1</w:t>
            </w:r>
          </w:p>
        </w:tc>
        <w:tc>
          <w:tcPr>
            <w:tcW w:type="dxa" w:w="576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Expected: Versioned edit history and supported corrections</w:t>
              <w:br/>
              <w:br/>
              <w:t>Observed: Concentration corrected; assertion removed; authority revised</w:t>
            </w:r>
          </w:p>
        </w:tc>
        <w:tc>
          <w:tcPr>
            <w:tcW w:type="dxa" w:w="352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SYN-SYS-03 / OWN-01</w:t>
              <w:br/>
              <w:t>Linkage: Direct</w:t>
            </w:r>
          </w:p>
        </w:tc>
        <w:tc>
          <w:tcPr>
            <w:tcW w:type="dxa" w:w="288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Integrity: Edit lineage recoverable</w:t>
              <w:br/>
              <w:br/>
              <w:t>Status: Complete</w:t>
            </w:r>
          </w:p>
        </w:tc>
      </w:tr>
      <w:tr>
        <w:trPr>
          <w:cantSplit/>
        </w:trPr>
        <w:tc>
          <w:tcPr>
            <w:tcW w:type="dxa" w:w="309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11. Final memorandum submitted</w:t>
              <w:br/>
              <w:t>SYN-MEMO-0042-V2</w:t>
            </w:r>
          </w:p>
        </w:tc>
        <w:tc>
          <w:tcPr>
            <w:tcW w:type="dxa" w:w="576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Expected: Final analyst artifact and timestamp</w:t>
              <w:br/>
              <w:br/>
              <w:t>Observed: Final memo recovered</w:t>
            </w:r>
          </w:p>
        </w:tc>
        <w:tc>
          <w:tcPr>
            <w:tcW w:type="dxa" w:w="352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SYN-SYS-07 / OWN-01</w:t>
              <w:br/>
              <w:t>Linkage: Direct</w:t>
            </w:r>
          </w:p>
        </w:tc>
        <w:tc>
          <w:tcPr>
            <w:tcW w:type="dxa" w:w="288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Integrity: Not a complete evidence package by itself</w:t>
              <w:br/>
              <w:br/>
              <w:t>Status: Complete</w:t>
            </w:r>
          </w:p>
        </w:tc>
      </w:tr>
      <w:tr>
        <w:trPr>
          <w:cantSplit/>
        </w:trPr>
        <w:tc>
          <w:tcPr>
            <w:tcW w:type="dxa" w:w="309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12. Exceptions recorded</w:t>
              <w:br/>
              <w:t>SYN-EXC-0042-01 / 02</w:t>
            </w:r>
          </w:p>
        </w:tc>
        <w:tc>
          <w:tcPr>
            <w:tcW w:type="dxa" w:w="576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Expected: Exception, policy threshold, actual, reviewer, status</w:t>
              <w:br/>
              <w:br/>
              <w:t>Observed: Both exception records recovered</w:t>
            </w:r>
          </w:p>
        </w:tc>
        <w:tc>
          <w:tcPr>
            <w:tcW w:type="dxa" w:w="352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SYN-SYS-01 / OWN-01, OWN-04</w:t>
              <w:br/>
              <w:t>Linkage: Direct</w:t>
            </w:r>
          </w:p>
        </w:tc>
        <w:tc>
          <w:tcPr>
            <w:tcW w:type="dxa" w:w="288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Integrity: No structured AI-suggestion disposition requirement</w:t>
              <w:br/>
              <w:br/>
              <w:t>Status: Complete</w:t>
            </w:r>
          </w:p>
        </w:tc>
      </w:tr>
    </w:tbl>
    <w:p>
      <w:pPr>
        <w:widowControl/>
        <w:spacing w:after="20"/>
      </w:pPr>
    </w:p>
    <w:p>
      <w:pPr>
        <w:widowControl/>
      </w:pPr>
      <w:r>
        <w:br w:type="page"/>
      </w:r>
    </w:p>
    <w:p>
      <w:pPr>
        <w:pStyle w:val="Heading2"/>
        <w:keepNext/>
        <w:keepLines/>
        <w:widowControl/>
      </w:pPr>
      <w:r>
        <w:rPr>
          <w:rFonts w:ascii="Liberation Sans" w:hAnsi="Liberation Sans"/>
          <w:b/>
          <w:color w:val="17324D"/>
          <w:sz w:val="26"/>
        </w:rPr>
        <w:t>Workflow stages 13–16</w:t>
      </w:r>
    </w:p>
    <w:tbl>
      <w:tblPr>
        <w:tblStyle w:val="TableGrid"/>
        <w:tblW w:type="auto" w:w="0"/>
        <w:jc w:val="center"/>
        <w:tblLayout w:type="fixed"/>
        <w:tblLook w:firstColumn="1" w:firstRow="1" w:lastColumn="0" w:lastRow="0" w:noHBand="0" w:noVBand="1" w:val="04A0"/>
      </w:tblPr>
      <w:tblGrid>
        <w:gridCol w:w="3564"/>
        <w:gridCol w:w="3564"/>
        <w:gridCol w:w="3564"/>
        <w:gridCol w:w="3564"/>
      </w:tblGrid>
      <w:tr>
        <w:trPr>
          <w:tblHeader w:val="true"/>
          <w:cantSplit/>
        </w:trPr>
        <w:tc>
          <w:tcPr>
            <w:tcW w:type="dxa" w:w="3096"/>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6"/>
              </w:rPr>
              <w:t>Stage and record</w:t>
            </w:r>
          </w:p>
        </w:tc>
        <w:tc>
          <w:tcPr>
            <w:tcW w:type="dxa" w:w="5760"/>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6"/>
              </w:rPr>
              <w:t>Expected and observed evidence</w:t>
            </w:r>
          </w:p>
        </w:tc>
        <w:tc>
          <w:tcPr>
            <w:tcW w:type="dxa" w:w="3528"/>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6"/>
              </w:rPr>
              <w:t>System / owner / linkage</w:t>
            </w:r>
          </w:p>
        </w:tc>
        <w:tc>
          <w:tcPr>
            <w:tcW w:type="dxa" w:w="2880"/>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6"/>
              </w:rPr>
              <w:t>Integrity and status</w:t>
            </w:r>
          </w:p>
        </w:tc>
      </w:tr>
      <w:tr>
        <w:trPr>
          <w:cantSplit/>
        </w:trPr>
        <w:tc>
          <w:tcPr>
            <w:tcW w:type="dxa" w:w="309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13. Human approval</w:t>
              <w:br/>
              <w:t>SYN-APR-0042-01</w:t>
            </w:r>
          </w:p>
        </w:tc>
        <w:tc>
          <w:tcPr>
            <w:tcW w:type="dxa" w:w="576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Expected: Approver, artifact version, exceptions, conditions, basis, timestamp</w:t>
              <w:br/>
              <w:br/>
              <w:t>Observed: All approval fields recovered</w:t>
            </w:r>
          </w:p>
        </w:tc>
        <w:tc>
          <w:tcPr>
            <w:tcW w:type="dxa" w:w="352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SYN-SYS-01 / OWN-01</w:t>
              <w:br/>
              <w:t>Linkage: Direct to final memo</w:t>
            </w:r>
          </w:p>
        </w:tc>
        <w:tc>
          <w:tcPr>
            <w:tcW w:type="dxa" w:w="288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Integrity: AI evidence linked through separate systems</w:t>
              <w:br/>
              <w:br/>
              <w:t>Status: Complete</w:t>
            </w:r>
          </w:p>
        </w:tc>
      </w:tr>
      <w:tr>
        <w:trPr>
          <w:cantSplit/>
        </w:trPr>
        <w:tc>
          <w:tcPr>
            <w:tcW w:type="dxa" w:w="309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14. Closing checks</w:t>
              <w:br/>
              <w:t>ACT-04 non-AI checks</w:t>
            </w:r>
          </w:p>
        </w:tc>
        <w:tc>
          <w:tcPr>
            <w:tcW w:type="dxa" w:w="576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Expected: Evidence booking prerequisites completed</w:t>
              <w:br/>
              <w:br/>
              <w:t>Observed: Represented as completed; detail outside scope</w:t>
            </w:r>
          </w:p>
        </w:tc>
        <w:tc>
          <w:tcPr>
            <w:tcW w:type="dxa" w:w="352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SYN-SYS-08 / OWN-01</w:t>
              <w:br/>
              <w:t>Linkage: Linked to approval</w:t>
            </w:r>
          </w:p>
        </w:tc>
        <w:tc>
          <w:tcPr>
            <w:tcW w:type="dxa" w:w="288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Integrity: Outside AI-assistance boundary</w:t>
              <w:br/>
              <w:br/>
              <w:t>Status: Not applicable to AI score</w:t>
            </w:r>
          </w:p>
        </w:tc>
      </w:tr>
      <w:tr>
        <w:trPr>
          <w:cantSplit/>
        </w:trPr>
        <w:tc>
          <w:tcPr>
            <w:tcW w:type="dxa" w:w="309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15. Booking</w:t>
              <w:br/>
              <w:t>SYN-BOOK-0042-01</w:t>
            </w:r>
          </w:p>
        </w:tc>
        <w:tc>
          <w:tcPr>
            <w:tcW w:type="dxa" w:w="576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Expected: Booked amount, term, approval link, timestamp</w:t>
              <w:br/>
              <w:br/>
              <w:t>Observed: Booking record recovered</w:t>
            </w:r>
          </w:p>
        </w:tc>
        <w:tc>
          <w:tcPr>
            <w:tcW w:type="dxa" w:w="352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SYN-SYS-08 / OWN-01</w:t>
              <w:br/>
              <w:t>Linkage: Direct to transaction and approval</w:t>
            </w:r>
          </w:p>
        </w:tc>
        <w:tc>
          <w:tcPr>
            <w:tcW w:type="dxa" w:w="288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Integrity: End-to-end lineage requires assembly</w:t>
              <w:br/>
              <w:br/>
              <w:t>Status: Complete as downstream action</w:t>
            </w:r>
          </w:p>
        </w:tc>
      </w:tr>
      <w:tr>
        <w:trPr>
          <w:cantSplit/>
        </w:trPr>
        <w:tc>
          <w:tcPr>
            <w:tcW w:type="dxa" w:w="309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16. Evidence retention</w:t>
              <w:br/>
              <w:t>Distributed records</w:t>
            </w:r>
          </w:p>
        </w:tc>
        <w:tc>
          <w:tcPr>
            <w:tcW w:type="dxa" w:w="576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Expected: Governed immutable time-bounded evidence chain</w:t>
              <w:br/>
              <w:br/>
              <w:t>Observed: Individual records available; no manifest or retention mapping</w:t>
            </w:r>
          </w:p>
        </w:tc>
        <w:tc>
          <w:tcPr>
            <w:tcW w:type="dxa" w:w="352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Multiple / OWN-05, OWN-03</w:t>
              <w:br/>
              <w:t>Linkage: Manual</w:t>
            </w:r>
          </w:p>
        </w:tc>
        <w:tc>
          <w:tcPr>
            <w:tcW w:type="dxa" w:w="288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Integrity: Long-term completeness and producibility unproven</w:t>
              <w:br/>
              <w:br/>
              <w:t>Status: Missing</w:t>
            </w:r>
          </w:p>
        </w:tc>
      </w:tr>
    </w:tbl>
    <w:p>
      <w:pPr>
        <w:widowControl/>
        <w:spacing w:after="20"/>
      </w:pPr>
    </w:p>
    <w:p>
      <w:pPr>
        <w:widowControl/>
        <w:sectPr>
          <w:pgSz w:w="15840" w:h="12240" w:orient="landscape"/>
          <w:pgMar w:top="792" w:right="792" w:bottom="792" w:left="792" w:header="360" w:footer="360" w:gutter="0"/>
          <w:cols w:space="720"/>
          <w:titlePg/>
          <w:docGrid w:linePitch="360"/>
        </w:sectPr>
      </w:pPr>
    </w:p>
    <w:p>
      <w:bookmarkStart w:id="80" w:name="appendixB"/>
      <w:pPr>
        <w:pStyle w:val="Heading1"/>
        <w:keepNext/>
        <w:keepLines/>
        <w:widowControl/>
      </w:pPr>
      <w:r>
        <w:rPr>
          <w:rFonts w:ascii="Liberation Sans" w:hAnsi="Liberation Sans"/>
          <w:b/>
          <w:color w:val="17324D"/>
          <w:sz w:val="36"/>
        </w:rPr>
        <w:t>Appendix B — Synthetic record and configuration detail</w:t>
      </w:r>
      <w:bookmarkEnd w:id="80"/>
    </w:p>
    <w:p>
      <w:pPr>
        <w:pStyle w:val="Heading2"/>
        <w:keepNext/>
        <w:keepLines/>
        <w:widowControl/>
      </w:pPr>
      <w:r>
        <w:rPr>
          <w:rFonts w:ascii="Liberation Sans" w:hAnsi="Liberation Sans"/>
          <w:b/>
          <w:color w:val="17324D"/>
          <w:sz w:val="26"/>
        </w:rPr>
        <w:t>Synthetic identifier registry</w:t>
      </w:r>
    </w:p>
    <w:tbl>
      <w:tblPr>
        <w:tblStyle w:val="TableGrid"/>
        <w:tblW w:type="auto" w:w="0"/>
        <w:jc w:val="center"/>
        <w:tblLayout w:type="fixed"/>
        <w:tblLook w:firstColumn="1" w:firstRow="1" w:lastColumn="0" w:lastRow="0" w:noHBand="0" w:noVBand="1" w:val="04A0"/>
      </w:tblPr>
      <w:tblGrid>
        <w:gridCol w:w="3389"/>
        <w:gridCol w:w="3389"/>
        <w:gridCol w:w="3389"/>
      </w:tblGrid>
      <w:tr>
        <w:trPr>
          <w:tblHeader w:val="true"/>
          <w:cantSplit/>
        </w:trPr>
        <w:tc>
          <w:tcPr>
            <w:tcW w:type="dxa" w:w="3456"/>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Identifier</w:t>
            </w:r>
          </w:p>
        </w:tc>
        <w:tc>
          <w:tcPr>
            <w:tcW w:type="dxa" w:w="2088"/>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Type</w:t>
            </w:r>
          </w:p>
        </w:tc>
        <w:tc>
          <w:tcPr>
            <w:tcW w:type="dxa" w:w="4320"/>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Meaning</w:t>
            </w:r>
          </w:p>
        </w:tc>
      </w:tr>
      <w:tr>
        <w:trPr>
          <w:cantSplit/>
        </w:trPr>
        <w:tc>
          <w:tcPr>
            <w:tcW w:type="dxa" w:w="345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SCM-2026-0042</w:t>
            </w:r>
          </w:p>
        </w:tc>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Sample transaction</w:t>
            </w:r>
          </w:p>
        </w:tc>
        <w:tc>
          <w:tcPr>
            <w:tcW w:type="dxa" w:w="432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Primary transaction reconstructed</w:t>
            </w:r>
          </w:p>
        </w:tc>
      </w:tr>
      <w:tr>
        <w:trPr>
          <w:cantSplit/>
        </w:trPr>
        <w:tc>
          <w:tcPr>
            <w:tcW w:type="dxa" w:w="345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SYN-APP-0042</w:t>
            </w:r>
          </w:p>
        </w:tc>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Credit request</w:t>
            </w:r>
          </w:p>
        </w:tc>
        <w:tc>
          <w:tcPr>
            <w:tcW w:type="dxa" w:w="432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Renewal and increase request</w:t>
            </w:r>
          </w:p>
        </w:tc>
      </w:tr>
      <w:tr>
        <w:trPr>
          <w:cantSplit/>
        </w:trPr>
        <w:tc>
          <w:tcPr>
            <w:tcW w:type="dxa" w:w="345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SYN-INP-0042-01</w:t>
            </w:r>
          </w:p>
        </w:tc>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Input</w:t>
            </w:r>
          </w:p>
        </w:tc>
        <w:tc>
          <w:tcPr>
            <w:tcW w:type="dxa" w:w="432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Frozen structured financial snapshot</w:t>
            </w:r>
          </w:p>
        </w:tc>
      </w:tr>
      <w:tr>
        <w:trPr>
          <w:cantSplit/>
        </w:trPr>
        <w:tc>
          <w:tcPr>
            <w:tcW w:type="dxa" w:w="345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SYN-INP-0042-02</w:t>
            </w:r>
          </w:p>
        </w:tc>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Input</w:t>
            </w:r>
          </w:p>
        </w:tc>
        <w:tc>
          <w:tcPr>
            <w:tcW w:type="dxa" w:w="432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Frozen relationship-manager narrative</w:t>
            </w:r>
          </w:p>
        </w:tc>
      </w:tr>
      <w:tr>
        <w:trPr>
          <w:cantSplit/>
        </w:trPr>
        <w:tc>
          <w:tcPr>
            <w:tcW w:type="dxa" w:w="345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SYN-RUN-0042-A</w:t>
            </w:r>
          </w:p>
        </w:tc>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AI run</w:t>
            </w:r>
          </w:p>
        </w:tc>
        <w:tc>
          <w:tcPr>
            <w:tcW w:type="dxa" w:w="432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MemoAssist orchestration run</w:t>
            </w:r>
          </w:p>
        </w:tc>
      </w:tr>
      <w:tr>
        <w:trPr>
          <w:cantSplit/>
        </w:trPr>
        <w:tc>
          <w:tcPr>
            <w:tcW w:type="dxa" w:w="345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SYN-INV-20260112-100518-0042</w:t>
            </w:r>
          </w:p>
        </w:tc>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Invocation</w:t>
            </w:r>
          </w:p>
        </w:tc>
        <w:tc>
          <w:tcPr>
            <w:tcW w:type="dxa" w:w="432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Hosted-model gateway invocation</w:t>
            </w:r>
          </w:p>
        </w:tc>
      </w:tr>
      <w:tr>
        <w:trPr>
          <w:cantSplit/>
        </w:trPr>
        <w:tc>
          <w:tcPr>
            <w:tcW w:type="dxa" w:w="345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SYN-RET-0042-01</w:t>
            </w:r>
          </w:p>
        </w:tc>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Retrieval</w:t>
            </w:r>
          </w:p>
        </w:tc>
        <w:tc>
          <w:tcPr>
            <w:tcW w:type="dxa" w:w="432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Policy retrieval event</w:t>
            </w:r>
          </w:p>
        </w:tc>
      </w:tr>
      <w:tr>
        <w:trPr>
          <w:cantSplit/>
        </w:trPr>
        <w:tc>
          <w:tcPr>
            <w:tcW w:type="dxa" w:w="345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SYN-OUT-0042-V0</w:t>
            </w:r>
          </w:p>
        </w:tc>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Original output</w:t>
            </w:r>
          </w:p>
        </w:tc>
        <w:tc>
          <w:tcPr>
            <w:tcW w:type="dxa" w:w="432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Unedited model draft</w:t>
            </w:r>
          </w:p>
        </w:tc>
      </w:tr>
      <w:tr>
        <w:trPr>
          <w:cantSplit/>
        </w:trPr>
        <w:tc>
          <w:tcPr>
            <w:tcW w:type="dxa" w:w="345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SYN-REV-0042-01</w:t>
            </w:r>
          </w:p>
        </w:tc>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Review</w:t>
            </w:r>
          </w:p>
        </w:tc>
        <w:tc>
          <w:tcPr>
            <w:tcW w:type="dxa" w:w="432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Analyst review session</w:t>
            </w:r>
          </w:p>
        </w:tc>
      </w:tr>
      <w:tr>
        <w:trPr>
          <w:cantSplit/>
        </w:trPr>
        <w:tc>
          <w:tcPr>
            <w:tcW w:type="dxa" w:w="345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SYN-MEMO-0042-V1</w:t>
            </w:r>
          </w:p>
        </w:tc>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Analyst edit</w:t>
            </w:r>
          </w:p>
        </w:tc>
        <w:tc>
          <w:tcPr>
            <w:tcW w:type="dxa" w:w="432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First edited memorandum</w:t>
            </w:r>
          </w:p>
        </w:tc>
      </w:tr>
      <w:tr>
        <w:trPr>
          <w:cantSplit/>
        </w:trPr>
        <w:tc>
          <w:tcPr>
            <w:tcW w:type="dxa" w:w="345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SYN-MEMO-0042-V2</w:t>
            </w:r>
          </w:p>
        </w:tc>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Final analyst artifact</w:t>
            </w:r>
          </w:p>
        </w:tc>
        <w:tc>
          <w:tcPr>
            <w:tcW w:type="dxa" w:w="432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Memorandum submitted for approval</w:t>
            </w:r>
          </w:p>
        </w:tc>
      </w:tr>
      <w:tr>
        <w:trPr>
          <w:cantSplit/>
        </w:trPr>
        <w:tc>
          <w:tcPr>
            <w:tcW w:type="dxa" w:w="345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SYN-EXC-0042-01</w:t>
            </w:r>
          </w:p>
        </w:tc>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Exception</w:t>
            </w:r>
          </w:p>
        </w:tc>
        <w:tc>
          <w:tcPr>
            <w:tcW w:type="dxa" w:w="432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Adjusted-leverage exception</w:t>
            </w:r>
          </w:p>
        </w:tc>
      </w:tr>
      <w:tr>
        <w:trPr>
          <w:cantSplit/>
        </w:trPr>
        <w:tc>
          <w:tcPr>
            <w:tcW w:type="dxa" w:w="345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SYN-EXC-0042-02</w:t>
            </w:r>
          </w:p>
        </w:tc>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Exception</w:t>
            </w:r>
          </w:p>
        </w:tc>
        <w:tc>
          <w:tcPr>
            <w:tcW w:type="dxa" w:w="432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Largest-customer-concentration exception</w:t>
            </w:r>
          </w:p>
        </w:tc>
      </w:tr>
      <w:tr>
        <w:trPr>
          <w:cantSplit/>
        </w:trPr>
        <w:tc>
          <w:tcPr>
            <w:tcW w:type="dxa" w:w="345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SYN-APR-0042-01</w:t>
            </w:r>
          </w:p>
        </w:tc>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Approval</w:t>
            </w:r>
          </w:p>
        </w:tc>
        <w:tc>
          <w:tcPr>
            <w:tcW w:type="dxa" w:w="432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Final human approval with conditions</w:t>
            </w:r>
          </w:p>
        </w:tc>
      </w:tr>
      <w:tr>
        <w:trPr>
          <w:cantSplit/>
        </w:trPr>
        <w:tc>
          <w:tcPr>
            <w:tcW w:type="dxa" w:w="345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SYN-BOOK-0042-01</w:t>
            </w:r>
          </w:p>
        </w:tc>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Downstream action</w:t>
            </w:r>
          </w:p>
        </w:tc>
        <w:tc>
          <w:tcPr>
            <w:tcW w:type="dxa" w:w="432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Booking after approval and non-AI checks</w:t>
            </w:r>
          </w:p>
        </w:tc>
      </w:tr>
      <w:tr>
        <w:trPr>
          <w:cantSplit/>
        </w:trPr>
        <w:tc>
          <w:tcPr>
            <w:tcW w:type="dxa" w:w="345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SYN-REC-0042-01</w:t>
            </w:r>
          </w:p>
        </w:tc>
        <w:tc>
          <w:tcPr>
            <w:tcW w:type="dxa" w:w="20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Reconstruction</w:t>
            </w:r>
          </w:p>
        </w:tc>
        <w:tc>
          <w:tcPr>
            <w:tcW w:type="dxa" w:w="432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Six-month request</w:t>
            </w:r>
          </w:p>
        </w:tc>
      </w:tr>
      <w:tr>
        <w:trPr>
          <w:cantSplit/>
        </w:trPr>
        <w:tc>
          <w:tcPr>
            <w:tcW w:type="dxa" w:w="345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SYN-EVIDX-0042-01</w:t>
            </w:r>
          </w:p>
        </w:tc>
        <w:tc>
          <w:tcPr>
            <w:tcW w:type="dxa" w:w="20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Manual index</w:t>
            </w:r>
          </w:p>
        </w:tc>
        <w:tc>
          <w:tcPr>
            <w:tcW w:type="dxa" w:w="432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Assembled during test; not original workflow evidence</w:t>
            </w:r>
          </w:p>
        </w:tc>
      </w:tr>
    </w:tbl>
    <w:p>
      <w:pPr>
        <w:widowControl/>
        <w:spacing w:after="20"/>
      </w:pPr>
    </w:p>
    <w:p>
      <w:pPr>
        <w:pStyle w:val="Heading2"/>
        <w:keepNext/>
        <w:keepLines/>
        <w:widowControl/>
      </w:pPr>
      <w:r>
        <w:rPr>
          <w:rFonts w:ascii="Liberation Sans" w:hAnsi="Liberation Sans"/>
          <w:b/>
          <w:color w:val="17324D"/>
          <w:sz w:val="26"/>
        </w:rPr>
        <w:t>Transaction facts and synthetic thresholds</w:t>
      </w:r>
    </w:p>
    <w:tbl>
      <w:tblPr>
        <w:tblStyle w:val="TableGrid"/>
        <w:tblW w:type="auto" w:w="0"/>
        <w:jc w:val="center"/>
        <w:tblLayout w:type="fixed"/>
        <w:tblLook w:firstColumn="1" w:firstRow="1" w:lastColumn="0" w:lastRow="0" w:noHBand="0" w:noVBand="1" w:val="04A0"/>
      </w:tblPr>
      <w:tblGrid>
        <w:gridCol w:w="3389"/>
        <w:gridCol w:w="3389"/>
        <w:gridCol w:w="3389"/>
      </w:tblGrid>
      <w:tr>
        <w:trPr>
          <w:tblHeader w:val="true"/>
          <w:cantSplit/>
        </w:trPr>
        <w:tc>
          <w:tcPr>
            <w:tcW w:type="dxa" w:w="4608"/>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Fact</w:t>
            </w:r>
          </w:p>
        </w:tc>
        <w:tc>
          <w:tcPr>
            <w:tcW w:type="dxa" w:w="2448"/>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Synthetic value</w:t>
            </w:r>
          </w:p>
        </w:tc>
        <w:tc>
          <w:tcPr>
            <w:tcW w:type="dxa" w:w="2808"/>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Source</w:t>
            </w:r>
          </w:p>
        </w:tc>
      </w:tr>
      <w:tr>
        <w:trPr>
          <w:cantSplit/>
        </w:trPr>
        <w:tc>
          <w:tcPr>
            <w:tcW w:type="dxa" w:w="460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Existing facility</w:t>
            </w:r>
          </w:p>
        </w:tc>
        <w:tc>
          <w:tcPr>
            <w:tcW w:type="dxa" w:w="244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$6.0 million</w:t>
            </w:r>
          </w:p>
        </w:tc>
        <w:tc>
          <w:tcPr>
            <w:tcW w:type="dxa" w:w="280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SYN-APP-0042</w:t>
            </w:r>
          </w:p>
        </w:tc>
      </w:tr>
      <w:tr>
        <w:trPr>
          <w:cantSplit/>
        </w:trPr>
        <w:tc>
          <w:tcPr>
            <w:tcW w:type="dxa" w:w="460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Requested facility</w:t>
            </w:r>
          </w:p>
        </w:tc>
        <w:tc>
          <w:tcPr>
            <w:tcW w:type="dxa" w:w="244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$8.5 million</w:t>
            </w:r>
          </w:p>
        </w:tc>
        <w:tc>
          <w:tcPr>
            <w:tcW w:type="dxa" w:w="280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SYN-APP-0042</w:t>
            </w:r>
          </w:p>
        </w:tc>
      </w:tr>
      <w:tr>
        <w:trPr>
          <w:cantSplit/>
        </w:trPr>
        <w:tc>
          <w:tcPr>
            <w:tcW w:type="dxa" w:w="460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Requested term</w:t>
            </w:r>
          </w:p>
        </w:tc>
        <w:tc>
          <w:tcPr>
            <w:tcW w:type="dxa" w:w="244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24 months</w:t>
            </w:r>
          </w:p>
        </w:tc>
        <w:tc>
          <w:tcPr>
            <w:tcW w:type="dxa" w:w="280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SYN-APP-0042</w:t>
            </w:r>
          </w:p>
        </w:tc>
      </w:tr>
      <w:tr>
        <w:trPr>
          <w:cantSplit/>
        </w:trPr>
        <w:tc>
          <w:tcPr>
            <w:tcW w:type="dxa" w:w="460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Financial period end</w:t>
            </w:r>
          </w:p>
        </w:tc>
        <w:tc>
          <w:tcPr>
            <w:tcW w:type="dxa" w:w="244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December 31, 2025</w:t>
            </w:r>
          </w:p>
        </w:tc>
        <w:tc>
          <w:tcPr>
            <w:tcW w:type="dxa" w:w="280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SYN-INP-0042-01</w:t>
            </w:r>
          </w:p>
        </w:tc>
      </w:tr>
      <w:tr>
        <w:trPr>
          <w:cantSplit/>
        </w:trPr>
        <w:tc>
          <w:tcPr>
            <w:tcW w:type="dxa" w:w="460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Revenue</w:t>
            </w:r>
          </w:p>
        </w:tc>
        <w:tc>
          <w:tcPr>
            <w:tcW w:type="dxa" w:w="244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$42.8 million</w:t>
            </w:r>
          </w:p>
        </w:tc>
        <w:tc>
          <w:tcPr>
            <w:tcW w:type="dxa" w:w="280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SYN-INP-0042-01</w:t>
            </w:r>
          </w:p>
        </w:tc>
      </w:tr>
      <w:tr>
        <w:trPr>
          <w:cantSplit/>
        </w:trPr>
        <w:tc>
          <w:tcPr>
            <w:tcW w:type="dxa" w:w="460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Adjusted EBITDA</w:t>
            </w:r>
          </w:p>
        </w:tc>
        <w:tc>
          <w:tcPr>
            <w:tcW w:type="dxa" w:w="244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$5.1 million</w:t>
            </w:r>
          </w:p>
        </w:tc>
        <w:tc>
          <w:tcPr>
            <w:tcW w:type="dxa" w:w="280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SYN-INP-0042-01</w:t>
            </w:r>
          </w:p>
        </w:tc>
      </w:tr>
      <w:tr>
        <w:trPr>
          <w:cantSplit/>
        </w:trPr>
        <w:tc>
          <w:tcPr>
            <w:tcW w:type="dxa" w:w="460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Total debt</w:t>
            </w:r>
          </w:p>
        </w:tc>
        <w:tc>
          <w:tcPr>
            <w:tcW w:type="dxa" w:w="244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$18.4 million</w:t>
            </w:r>
          </w:p>
        </w:tc>
        <w:tc>
          <w:tcPr>
            <w:tcW w:type="dxa" w:w="280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SYN-INP-0042-01</w:t>
            </w:r>
          </w:p>
        </w:tc>
      </w:tr>
      <w:tr>
        <w:trPr>
          <w:cantSplit/>
        </w:trPr>
        <w:tc>
          <w:tcPr>
            <w:tcW w:type="dxa" w:w="460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Adjusted debt / EBITDA</w:t>
            </w:r>
          </w:p>
        </w:tc>
        <w:tc>
          <w:tcPr>
            <w:tcW w:type="dxa" w:w="244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3.61x</w:t>
            </w:r>
          </w:p>
        </w:tc>
        <w:tc>
          <w:tcPr>
            <w:tcW w:type="dxa" w:w="280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SYN-INP-0042-01</w:t>
            </w:r>
          </w:p>
        </w:tc>
      </w:tr>
      <w:tr>
        <w:trPr>
          <w:cantSplit/>
        </w:trPr>
        <w:tc>
          <w:tcPr>
            <w:tcW w:type="dxa" w:w="460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Fixed-charge coverage</w:t>
            </w:r>
          </w:p>
        </w:tc>
        <w:tc>
          <w:tcPr>
            <w:tcW w:type="dxa" w:w="244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1.31x</w:t>
            </w:r>
          </w:p>
        </w:tc>
        <w:tc>
          <w:tcPr>
            <w:tcW w:type="dxa" w:w="280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SYN-INP-0042-01</w:t>
            </w:r>
          </w:p>
        </w:tc>
      </w:tr>
      <w:tr>
        <w:trPr>
          <w:cantSplit/>
        </w:trPr>
        <w:tc>
          <w:tcPr>
            <w:tcW w:type="dxa" w:w="460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Largest-customer concentration — dated source</w:t>
            </w:r>
          </w:p>
        </w:tc>
        <w:tc>
          <w:tcPr>
            <w:tcW w:type="dxa" w:w="244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31%</w:t>
            </w:r>
          </w:p>
        </w:tc>
        <w:tc>
          <w:tcPr>
            <w:tcW w:type="dxa" w:w="280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SYN-INP-0042-01</w:t>
            </w:r>
          </w:p>
        </w:tc>
      </w:tr>
      <w:tr>
        <w:trPr>
          <w:cantSplit/>
        </w:trPr>
        <w:tc>
          <w:tcPr>
            <w:tcW w:type="dxa" w:w="460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Largest-customer concentration — older narrative</w:t>
            </w:r>
          </w:p>
        </w:tc>
        <w:tc>
          <w:tcPr>
            <w:tcW w:type="dxa" w:w="244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28%</w:t>
            </w:r>
          </w:p>
        </w:tc>
        <w:tc>
          <w:tcPr>
            <w:tcW w:type="dxa" w:w="280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SYN-INP-0042-02</w:t>
            </w:r>
          </w:p>
        </w:tc>
      </w:tr>
      <w:tr>
        <w:trPr>
          <w:cantSplit/>
        </w:trPr>
        <w:tc>
          <w:tcPr>
            <w:tcW w:type="dxa" w:w="460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A/R over 90 days</w:t>
            </w:r>
          </w:p>
        </w:tc>
        <w:tc>
          <w:tcPr>
            <w:tcW w:type="dxa" w:w="244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4.8%</w:t>
            </w:r>
          </w:p>
        </w:tc>
        <w:tc>
          <w:tcPr>
            <w:tcW w:type="dxa" w:w="280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SYN-INP-0042-01</w:t>
            </w:r>
          </w:p>
        </w:tc>
      </w:tr>
      <w:tr>
        <w:trPr>
          <w:cantSplit/>
        </w:trPr>
        <w:tc>
          <w:tcPr>
            <w:tcW w:type="dxa" w:w="460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Pricing</w:t>
            </w:r>
          </w:p>
        </w:tc>
        <w:tc>
          <w:tcPr>
            <w:tcW w:type="dxa" w:w="244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Not stated; human-only</w:t>
            </w:r>
          </w:p>
        </w:tc>
        <w:tc>
          <w:tcPr>
            <w:tcW w:type="dxa" w:w="280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w:t>
            </w:r>
          </w:p>
        </w:tc>
      </w:tr>
      <w:tr>
        <w:trPr>
          <w:cantSplit/>
        </w:trPr>
        <w:tc>
          <w:tcPr>
            <w:tcW w:type="dxa" w:w="460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Risk rating</w:t>
            </w:r>
          </w:p>
        </w:tc>
        <w:tc>
          <w:tcPr>
            <w:tcW w:type="dxa" w:w="244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Not stated; human-only</w:t>
            </w:r>
          </w:p>
        </w:tc>
        <w:tc>
          <w:tcPr>
            <w:tcW w:type="dxa" w:w="280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w:t>
            </w:r>
          </w:p>
        </w:tc>
      </w:tr>
    </w:tbl>
    <w:p>
      <w:pPr>
        <w:widowControl/>
        <w:spacing w:after="20"/>
      </w:pPr>
    </w:p>
    <w:tbl>
      <w:tblPr>
        <w:tblStyle w:val="TableGrid"/>
        <w:tblW w:type="auto" w:w="0"/>
        <w:jc w:val="center"/>
        <w:tblLayout w:type="fixed"/>
        <w:tblLook w:firstColumn="1" w:firstRow="1" w:lastColumn="0" w:lastRow="0" w:noHBand="0" w:noVBand="1" w:val="04A0"/>
      </w:tblPr>
      <w:tblGrid>
        <w:gridCol w:w="3389"/>
        <w:gridCol w:w="3389"/>
        <w:gridCol w:w="3389"/>
      </w:tblGrid>
      <w:tr>
        <w:trPr>
          <w:tblHeader w:val="true"/>
          <w:cantSplit/>
        </w:trPr>
        <w:tc>
          <w:tcPr>
            <w:tcW w:type="dxa" w:w="4176"/>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6"/>
              </w:rPr>
              <w:t>Policy measure</w:t>
            </w:r>
          </w:p>
        </w:tc>
        <w:tc>
          <w:tcPr>
            <w:tcW w:type="dxa" w:w="2160"/>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6"/>
              </w:rPr>
              <w:t>Synthetic threshold</w:t>
            </w:r>
          </w:p>
        </w:tc>
        <w:tc>
          <w:tcPr>
            <w:tcW w:type="dxa" w:w="3528"/>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6"/>
              </w:rPr>
              <w:t>Result</w:t>
            </w:r>
          </w:p>
        </w:tc>
      </w:tr>
      <w:tr>
        <w:trPr>
          <w:cantSplit/>
        </w:trPr>
        <w:tc>
          <w:tcPr>
            <w:tcW w:type="dxa" w:w="41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Adjusted debt-to-EBITDA guideline</w:t>
            </w:r>
          </w:p>
        </w:tc>
        <w:tc>
          <w:tcPr>
            <w:tcW w:type="dxa" w:w="216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3.50x</w:t>
            </w:r>
          </w:p>
        </w:tc>
        <w:tc>
          <w:tcPr>
            <w:tcW w:type="dxa" w:w="352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Actual 3.61x; exception confirmed</w:t>
            </w:r>
          </w:p>
        </w:tc>
      </w:tr>
      <w:tr>
        <w:trPr>
          <w:cantSplit/>
        </w:trPr>
        <w:tc>
          <w:tcPr>
            <w:tcW w:type="dxa" w:w="41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Largest-customer concentration</w:t>
            </w:r>
          </w:p>
        </w:tc>
        <w:tc>
          <w:tcPr>
            <w:tcW w:type="dxa" w:w="216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25%</w:t>
            </w:r>
          </w:p>
        </w:tc>
        <w:tc>
          <w:tcPr>
            <w:tcW w:type="dxa" w:w="352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6"/>
              </w:rPr>
              <w:t>Actual 31%; exception confirmed</w:t>
            </w:r>
          </w:p>
        </w:tc>
      </w:tr>
      <w:tr>
        <w:trPr>
          <w:cantSplit/>
        </w:trPr>
        <w:tc>
          <w:tcPr>
            <w:tcW w:type="dxa" w:w="41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Fixed-charge-coverage minimum</w:t>
            </w:r>
          </w:p>
        </w:tc>
        <w:tc>
          <w:tcPr>
            <w:tcW w:type="dxa" w:w="216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1.20x</w:t>
            </w:r>
          </w:p>
        </w:tc>
        <w:tc>
          <w:tcPr>
            <w:tcW w:type="dxa" w:w="352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6"/>
              </w:rPr>
              <w:t>Actual 1.31x; no exception</w:t>
            </w:r>
          </w:p>
        </w:tc>
      </w:tr>
    </w:tbl>
    <w:p>
      <w:pPr>
        <w:widowControl/>
        <w:spacing w:after="20"/>
      </w:pPr>
    </w:p>
    <w:p>
      <w:pPr>
        <w:pStyle w:val="Heading2"/>
        <w:keepNext/>
        <w:keepLines/>
        <w:widowControl/>
      </w:pPr>
      <w:r>
        <w:rPr>
          <w:rFonts w:ascii="Liberation Sans" w:hAnsi="Liberation Sans"/>
          <w:b/>
          <w:color w:val="17324D"/>
          <w:sz w:val="26"/>
        </w:rPr>
        <w:t>Event timeline and reconstruction effort</w:t>
      </w:r>
    </w:p>
    <w:tbl>
      <w:tblPr>
        <w:tblStyle w:val="TableGrid"/>
        <w:tblW w:type="auto" w:w="0"/>
        <w:jc w:val="center"/>
        <w:tblLayout w:type="fixed"/>
        <w:tblLook w:firstColumn="1" w:firstRow="1" w:lastColumn="0" w:lastRow="0" w:noHBand="0" w:noVBand="1" w:val="04A0"/>
      </w:tblPr>
      <w:tblGrid>
        <w:gridCol w:w="3389"/>
        <w:gridCol w:w="3389"/>
        <w:gridCol w:w="3389"/>
      </w:tblGrid>
      <w:tr>
        <w:trPr>
          <w:tblHeader w:val="true"/>
          <w:cantSplit/>
        </w:trPr>
        <w:tc>
          <w:tcPr>
            <w:tcW w:type="dxa" w:w="3096"/>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Synthetic timestamp (ET)</w:t>
            </w:r>
          </w:p>
        </w:tc>
        <w:tc>
          <w:tcPr>
            <w:tcW w:type="dxa" w:w="4031"/>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Event</w:t>
            </w:r>
          </w:p>
        </w:tc>
        <w:tc>
          <w:tcPr>
            <w:tcW w:type="dxa" w:w="2736"/>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Record</w:t>
            </w:r>
          </w:p>
        </w:tc>
      </w:tr>
      <w:tr>
        <w:trPr>
          <w:cantSplit/>
        </w:trPr>
        <w:tc>
          <w:tcPr>
            <w:tcW w:type="dxa" w:w="309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Jan 8, 2026 9:12 a.m.</w:t>
            </w:r>
          </w:p>
        </w:tc>
        <w:tc>
          <w:tcPr>
            <w:tcW w:type="dxa" w:w="4031"/>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Request opened</w:t>
            </w:r>
          </w:p>
        </w:tc>
        <w:tc>
          <w:tcPr>
            <w:tcW w:type="dxa" w:w="273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SYN-APP-0042</w:t>
            </w:r>
          </w:p>
        </w:tc>
      </w:tr>
      <w:tr>
        <w:trPr>
          <w:cantSplit/>
        </w:trPr>
        <w:tc>
          <w:tcPr>
            <w:tcW w:type="dxa" w:w="309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Jan 9, 2026 2:20 p.m.</w:t>
            </w:r>
          </w:p>
        </w:tc>
        <w:tc>
          <w:tcPr>
            <w:tcW w:type="dxa" w:w="4031"/>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Financial records represented</w:t>
            </w:r>
          </w:p>
        </w:tc>
        <w:tc>
          <w:tcPr>
            <w:tcW w:type="dxa" w:w="273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Preliminary source records</w:t>
            </w:r>
          </w:p>
        </w:tc>
      </w:tr>
      <w:tr>
        <w:trPr>
          <w:cantSplit/>
        </w:trPr>
        <w:tc>
          <w:tcPr>
            <w:tcW w:type="dxa" w:w="309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Jan 12, 2026 9:58 a.m.</w:t>
            </w:r>
          </w:p>
        </w:tc>
        <w:tc>
          <w:tcPr>
            <w:tcW w:type="dxa" w:w="4031"/>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Inputs frozen</w:t>
            </w:r>
          </w:p>
        </w:tc>
        <w:tc>
          <w:tcPr>
            <w:tcW w:type="dxa" w:w="273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SYN-INP-0042-01/02</w:t>
            </w:r>
          </w:p>
        </w:tc>
      </w:tr>
      <w:tr>
        <w:trPr>
          <w:cantSplit/>
        </w:trPr>
        <w:tc>
          <w:tcPr>
            <w:tcW w:type="dxa" w:w="309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Jan 12, 2026 10:05:18 a.m.</w:t>
            </w:r>
          </w:p>
        </w:tc>
        <w:tc>
          <w:tcPr>
            <w:tcW w:type="dxa" w:w="4031"/>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AI run begins</w:t>
            </w:r>
          </w:p>
        </w:tc>
        <w:tc>
          <w:tcPr>
            <w:tcW w:type="dxa" w:w="273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SYN-RUN-0042-A; invocation</w:t>
            </w:r>
          </w:p>
        </w:tc>
      </w:tr>
      <w:tr>
        <w:trPr>
          <w:cantSplit/>
        </w:trPr>
        <w:tc>
          <w:tcPr>
            <w:tcW w:type="dxa" w:w="309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Jan 12, 2026 10:05:19–10:05:21 a.m.</w:t>
            </w:r>
          </w:p>
        </w:tc>
        <w:tc>
          <w:tcPr>
            <w:tcW w:type="dxa" w:w="4031"/>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Policy retrieval</w:t>
            </w:r>
          </w:p>
        </w:tc>
        <w:tc>
          <w:tcPr>
            <w:tcW w:type="dxa" w:w="273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SYN-RET-0042-01</w:t>
            </w:r>
          </w:p>
        </w:tc>
      </w:tr>
      <w:tr>
        <w:trPr>
          <w:cantSplit/>
        </w:trPr>
        <w:tc>
          <w:tcPr>
            <w:tcW w:type="dxa" w:w="309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Jan 12, 2026 10:06:02 a.m.</w:t>
            </w:r>
          </w:p>
        </w:tc>
        <w:tc>
          <w:tcPr>
            <w:tcW w:type="dxa" w:w="4031"/>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Original output returned</w:t>
            </w:r>
          </w:p>
        </w:tc>
        <w:tc>
          <w:tcPr>
            <w:tcW w:type="dxa" w:w="273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SYN-OUT-0042-V0</w:t>
            </w:r>
          </w:p>
        </w:tc>
      </w:tr>
      <w:tr>
        <w:trPr>
          <w:cantSplit/>
        </w:trPr>
        <w:tc>
          <w:tcPr>
            <w:tcW w:type="dxa" w:w="309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Jan 12, 2026 1:47:36 p.m.</w:t>
            </w:r>
          </w:p>
        </w:tc>
        <w:tc>
          <w:tcPr>
            <w:tcW w:type="dxa" w:w="4031"/>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Analyst corrects and revises</w:t>
            </w:r>
          </w:p>
        </w:tc>
        <w:tc>
          <w:tcPr>
            <w:tcW w:type="dxa" w:w="273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SYN-REV-0042-01; V1</w:t>
            </w:r>
          </w:p>
        </w:tc>
      </w:tr>
      <w:tr>
        <w:trPr>
          <w:cantSplit/>
        </w:trPr>
        <w:tc>
          <w:tcPr>
            <w:tcW w:type="dxa" w:w="309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Jan 13, 2026 9:16 a.m.</w:t>
            </w:r>
          </w:p>
        </w:tc>
        <w:tc>
          <w:tcPr>
            <w:tcW w:type="dxa" w:w="4031"/>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Credit officer requests clarity</w:t>
            </w:r>
          </w:p>
        </w:tc>
        <w:tc>
          <w:tcPr>
            <w:tcW w:type="dxa" w:w="273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Human review comment</w:t>
            </w:r>
          </w:p>
        </w:tc>
      </w:tr>
      <w:tr>
        <w:trPr>
          <w:cantSplit/>
        </w:trPr>
        <w:tc>
          <w:tcPr>
            <w:tcW w:type="dxa" w:w="309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Jan 13, 2026 11:02:19 a.m.</w:t>
            </w:r>
          </w:p>
        </w:tc>
        <w:tc>
          <w:tcPr>
            <w:tcW w:type="dxa" w:w="4031"/>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Final memo submitted</w:t>
            </w:r>
          </w:p>
        </w:tc>
        <w:tc>
          <w:tcPr>
            <w:tcW w:type="dxa" w:w="273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V2</w:t>
            </w:r>
          </w:p>
        </w:tc>
      </w:tr>
      <w:tr>
        <w:trPr>
          <w:cantSplit/>
        </w:trPr>
        <w:tc>
          <w:tcPr>
            <w:tcW w:type="dxa" w:w="309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Jan 14, 2026 3:31:08 p.m.</w:t>
            </w:r>
          </w:p>
        </w:tc>
        <w:tc>
          <w:tcPr>
            <w:tcW w:type="dxa" w:w="4031"/>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Human approval</w:t>
            </w:r>
          </w:p>
        </w:tc>
        <w:tc>
          <w:tcPr>
            <w:tcW w:type="dxa" w:w="273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SYN-APR-0042-01</w:t>
            </w:r>
          </w:p>
        </w:tc>
      </w:tr>
      <w:tr>
        <w:trPr>
          <w:cantSplit/>
        </w:trPr>
        <w:tc>
          <w:tcPr>
            <w:tcW w:type="dxa" w:w="309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Jan 20, 2026 12:10 p.m.</w:t>
            </w:r>
          </w:p>
        </w:tc>
        <w:tc>
          <w:tcPr>
            <w:tcW w:type="dxa" w:w="4031"/>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Booking after closing checks</w:t>
            </w:r>
          </w:p>
        </w:tc>
        <w:tc>
          <w:tcPr>
            <w:tcW w:type="dxa" w:w="273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SYN-BOOK-0042-01</w:t>
            </w:r>
          </w:p>
        </w:tc>
      </w:tr>
      <w:tr>
        <w:trPr>
          <w:cantSplit/>
        </w:trPr>
        <w:tc>
          <w:tcPr>
            <w:tcW w:type="dxa" w:w="309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Jul 14, 2026 8:30 a.m.</w:t>
            </w:r>
          </w:p>
        </w:tc>
        <w:tc>
          <w:tcPr>
            <w:tcW w:type="dxa" w:w="4031"/>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Reconstruction request opened</w:t>
            </w:r>
          </w:p>
        </w:tc>
        <w:tc>
          <w:tcPr>
            <w:tcW w:type="dxa" w:w="273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SYN-REC-0042-01</w:t>
            </w:r>
          </w:p>
        </w:tc>
      </w:tr>
      <w:tr>
        <w:trPr>
          <w:cantSplit/>
        </w:trPr>
        <w:tc>
          <w:tcPr>
            <w:tcW w:type="dxa" w:w="309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Jul 16, 2026 4:05 p.m.</w:t>
            </w:r>
          </w:p>
        </w:tc>
        <w:tc>
          <w:tcPr>
            <w:tcW w:type="dxa" w:w="4031"/>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Manual index completed</w:t>
            </w:r>
          </w:p>
        </w:tc>
        <w:tc>
          <w:tcPr>
            <w:tcW w:type="dxa" w:w="273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SYN-EVIDX-0042-01</w:t>
            </w:r>
          </w:p>
        </w:tc>
      </w:tr>
    </w:tbl>
    <w:p>
      <w:pPr>
        <w:widowControl/>
        <w:spacing w:after="20"/>
      </w:pPr>
    </w:p>
    <w:p>
      <w:pPr>
        <w:pStyle w:val="Heading2"/>
        <w:keepNext/>
        <w:keepLines/>
        <w:widowControl/>
      </w:pPr>
      <w:r>
        <w:rPr>
          <w:rFonts w:ascii="Liberation Sans" w:hAnsi="Liberation Sans"/>
          <w:b/>
          <w:color w:val="17324D"/>
          <w:sz w:val="26"/>
        </w:rPr>
        <w:t>Synthetic policy registry</w:t>
      </w:r>
    </w:p>
    <w:tbl>
      <w:tblPr>
        <w:tblStyle w:val="TableGrid"/>
        <w:tblW w:type="auto" w:w="0"/>
        <w:jc w:val="center"/>
        <w:tblLayout w:type="fixed"/>
        <w:tblLook w:firstColumn="1" w:firstRow="1" w:lastColumn="0" w:lastRow="0" w:noHBand="0" w:noVBand="1" w:val="04A0"/>
      </w:tblPr>
      <w:tblGrid>
        <w:gridCol w:w="2541"/>
        <w:gridCol w:w="2541"/>
        <w:gridCol w:w="2541"/>
        <w:gridCol w:w="2541"/>
      </w:tblGrid>
      <w:tr>
        <w:trPr>
          <w:tblHeader w:val="true"/>
          <w:cantSplit/>
        </w:trPr>
        <w:tc>
          <w:tcPr>
            <w:tcW w:type="dxa" w:w="2592"/>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Policy ID</w:t>
            </w:r>
          </w:p>
        </w:tc>
        <w:tc>
          <w:tcPr>
            <w:tcW w:type="dxa" w:w="3024"/>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Title</w:t>
            </w:r>
          </w:p>
        </w:tc>
        <w:tc>
          <w:tcPr>
            <w:tcW w:type="dxa" w:w="1800"/>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Effective date</w:t>
            </w:r>
          </w:p>
        </w:tc>
        <w:tc>
          <w:tcPr>
            <w:tcW w:type="dxa" w:w="2448"/>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Relevant rule</w:t>
            </w:r>
          </w:p>
        </w:tc>
      </w:tr>
      <w:tr>
        <w:trPr>
          <w:cantSplit/>
        </w:trPr>
        <w:tc>
          <w:tcPr>
            <w:tcW w:type="dxa" w:w="2592"/>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SYN-POL-CCP-2025.4</w:t>
            </w:r>
          </w:p>
        </w:tc>
        <w:tc>
          <w:tcPr>
            <w:tcW w:type="dxa" w:w="3024"/>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Commercial Credit Policy</w:t>
            </w:r>
          </w:p>
        </w:tc>
        <w:tc>
          <w:tcPr>
            <w:tcW w:type="dxa" w:w="180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Oct. 1, 2025</w:t>
            </w:r>
          </w:p>
        </w:tc>
        <w:tc>
          <w:tcPr>
            <w:tcW w:type="dxa" w:w="244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3.50x leverage guideline</w:t>
            </w:r>
          </w:p>
        </w:tc>
      </w:tr>
      <w:tr>
        <w:trPr>
          <w:cantSplit/>
        </w:trPr>
        <w:tc>
          <w:tcPr>
            <w:tcW w:type="dxa" w:w="2592"/>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SYN-POL-CONC-2025.2</w:t>
            </w:r>
          </w:p>
        </w:tc>
        <w:tc>
          <w:tcPr>
            <w:tcW w:type="dxa" w:w="3024"/>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Customer Concentration Addendum</w:t>
            </w:r>
          </w:p>
        </w:tc>
        <w:tc>
          <w:tcPr>
            <w:tcW w:type="dxa" w:w="180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Nov. 15, 2025</w:t>
            </w:r>
          </w:p>
        </w:tc>
        <w:tc>
          <w:tcPr>
            <w:tcW w:type="dxa" w:w="244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25% concentration threshold</w:t>
            </w:r>
          </w:p>
        </w:tc>
      </w:tr>
      <w:tr>
        <w:trPr>
          <w:cantSplit/>
        </w:trPr>
        <w:tc>
          <w:tcPr>
            <w:tcW w:type="dxa" w:w="2592"/>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SYN-PROC-MEMO-2025.3</w:t>
            </w:r>
          </w:p>
        </w:tc>
        <w:tc>
          <w:tcPr>
            <w:tcW w:type="dxa" w:w="3024"/>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Credit Memorandum Procedure</w:t>
            </w:r>
          </w:p>
        </w:tc>
        <w:tc>
          <w:tcPr>
            <w:tcW w:type="dxa" w:w="180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Dec. 1, 2025</w:t>
            </w:r>
          </w:p>
        </w:tc>
        <w:tc>
          <w:tcPr>
            <w:tcW w:type="dxa" w:w="244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Review and approval-authority presentation</w:t>
            </w:r>
          </w:p>
        </w:tc>
      </w:tr>
      <w:tr>
        <w:trPr>
          <w:cantSplit/>
        </w:trPr>
        <w:tc>
          <w:tcPr>
            <w:tcW w:type="dxa" w:w="2592"/>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SYN-STD-AIDRAFT-2025.1</w:t>
            </w:r>
          </w:p>
        </w:tc>
        <w:tc>
          <w:tcPr>
            <w:tcW w:type="dxa" w:w="3024"/>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AI-Assisted Drafting Standard</w:t>
            </w:r>
          </w:p>
        </w:tc>
        <w:tc>
          <w:tcPr>
            <w:tcW w:type="dxa" w:w="180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Dec. 15, 2025</w:t>
            </w:r>
          </w:p>
        </w:tc>
        <w:tc>
          <w:tcPr>
            <w:tcW w:type="dxa" w:w="244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Human review; no autonomous credit decisions</w:t>
            </w:r>
          </w:p>
        </w:tc>
      </w:tr>
    </w:tbl>
    <w:p>
      <w:pPr>
        <w:widowControl/>
        <w:spacing w:after="20"/>
      </w:pPr>
    </w:p>
    <w:p>
      <w:pPr>
        <w:pStyle w:val="Heading2"/>
        <w:keepNext/>
        <w:keepLines/>
        <w:widowControl/>
      </w:pPr>
      <w:r>
        <w:rPr>
          <w:rFonts w:ascii="Liberation Sans" w:hAnsi="Liberation Sans"/>
          <w:b/>
          <w:color w:val="17324D"/>
          <w:sz w:val="26"/>
        </w:rPr>
        <w:t>Locked synthetic instructions</w:t>
      </w:r>
    </w:p>
    <w:tbl>
      <w:tblPr>
        <w:tblW w:type="auto" w:w="0"/>
        <w:jc w:val="center"/>
        <w:tblLayout w:type="fixed"/>
        <w:tblLook w:firstColumn="1" w:firstRow="1" w:lastColumn="0" w:lastRow="0" w:noHBand="0" w:noVBand="1" w:val="04A0"/>
      </w:tblPr>
      <w:tblGrid>
        <w:gridCol w:w="10166"/>
      </w:tblGrid>
      <w:tr>
        <w:tc>
          <w:tcPr>
            <w:tcW w:type="dxa" w:w="10008"/>
            <w:shd w:fill="F4F7F9"/>
            <w:tcMar>
              <w:top w:w="120" w:type="dxa"/>
              <w:start w:w="150" w:type="dxa"/>
              <w:bottom w:w="120" w:type="dxa"/>
              <w:end w:w="150" w:type="dxa"/>
            </w:tcMar>
            <w:vAlign w:val="center"/>
            <w:tcBorders>
              <w:top w:val="single" w:sz="8" w:color="1E5A7A"/>
              <w:left w:val="single" w:sz="8" w:color="1E5A7A"/>
              <w:bottom w:val="single" w:sz="8" w:color="1E5A7A"/>
              <w:right w:val="single" w:sz="8" w:color="1E5A7A"/>
            </w:tcBorders>
          </w:tcPr>
          <w:p>
            <w:pPr>
              <w:keepNext/>
              <w:keepLines/>
              <w:widowControl/>
              <w:spacing w:before="0" w:after="60" w:line="252" w:lineRule="auto"/>
            </w:pPr>
            <w:r>
              <w:rPr>
                <w:rFonts w:ascii="Liberation Sans" w:hAnsi="Liberation Sans"/>
                <w:b/>
                <w:color w:val="17324D"/>
                <w:sz w:val="20"/>
              </w:rPr>
              <w:t>System instruction</w:t>
            </w:r>
          </w:p>
          <w:p>
            <w:pPr>
              <w:keepNext w:val="0"/>
              <w:keepLines/>
              <w:widowControl/>
              <w:spacing w:before="0" w:after="0" w:line="252" w:lineRule="auto"/>
            </w:pPr>
            <w:r>
              <w:rPr>
                <w:rFonts w:ascii="Liberation Sans" w:hAnsi="Liberation Sans"/>
                <w:color w:val="25313B"/>
                <w:sz w:val="18"/>
              </w:rPr>
              <w:t>You draft commercial credit memorandum language from supplied records and identify possible policy exceptions. You do not approve or deny credit, set pricing or terms, assign a risk rating, create adverse-action reasons, or replace analyst or credit-officer judgment. Cite only supplied sources. Mark uncertain or conflicting values for analyst review.</w:t>
            </w:r>
          </w:p>
        </w:tc>
      </w:tr>
    </w:tbl>
    <w:tbl>
      <w:tblPr>
        <w:tblW w:type="auto" w:w="0"/>
        <w:jc w:val="center"/>
        <w:tblLayout w:type="fixed"/>
        <w:tblLook w:firstColumn="1" w:firstRow="1" w:lastColumn="0" w:lastRow="0" w:noHBand="0" w:noVBand="1" w:val="04A0"/>
      </w:tblPr>
      <w:tblGrid>
        <w:gridCol w:w="10166"/>
      </w:tblGrid>
      <w:tr>
        <w:tc>
          <w:tcPr>
            <w:tcW w:type="dxa" w:w="10008"/>
            <w:shd w:fill="F4F7F9"/>
            <w:tcMar>
              <w:top w:w="120" w:type="dxa"/>
              <w:start w:w="150" w:type="dxa"/>
              <w:bottom w:w="120" w:type="dxa"/>
              <w:end w:w="150" w:type="dxa"/>
            </w:tcMar>
            <w:vAlign w:val="center"/>
            <w:tcBorders>
              <w:top w:val="single" w:sz="8" w:color="287D7A"/>
              <w:left w:val="single" w:sz="8" w:color="287D7A"/>
              <w:bottom w:val="single" w:sz="8" w:color="287D7A"/>
              <w:right w:val="single" w:sz="8" w:color="287D7A"/>
            </w:tcBorders>
          </w:tcPr>
          <w:p>
            <w:pPr>
              <w:keepNext/>
              <w:keepLines/>
              <w:widowControl/>
              <w:spacing w:before="0" w:after="60" w:line="252" w:lineRule="auto"/>
            </w:pPr>
            <w:r>
              <w:rPr>
                <w:rFonts w:ascii="Liberation Sans" w:hAnsi="Liberation Sans"/>
                <w:b/>
                <w:color w:val="17324D"/>
                <w:sz w:val="20"/>
              </w:rPr>
              <w:t>User-template instruction</w:t>
            </w:r>
          </w:p>
          <w:p>
            <w:pPr>
              <w:keepNext w:val="0"/>
              <w:keepLines/>
              <w:widowControl/>
              <w:spacing w:before="0" w:after="0" w:line="252" w:lineRule="auto"/>
            </w:pPr>
            <w:r>
              <w:rPr>
                <w:rFonts w:ascii="Liberation Sans" w:hAnsi="Liberation Sans"/>
                <w:color w:val="25313B"/>
                <w:sz w:val="18"/>
              </w:rPr>
              <w:t>Draft the requested sections for synthetic transaction SCM-2026-0042 using the structured financial snapshot, relationship-manager narrative, and retrieved policy excerpts. List possible exceptions separately. Do not resolve conflicting facts; surface them.</w:t>
            </w:r>
          </w:p>
        </w:tc>
      </w:tr>
    </w:tbl>
    <w:p>
      <w:bookmarkStart w:id="90" w:name="appendixC"/>
      <w:pPr>
        <w:pStyle w:val="Heading1"/>
        <w:keepNext/>
        <w:keepLines/>
        <w:pageBreakBefore/>
        <w:widowControl/>
      </w:pPr>
      <w:r>
        <w:rPr>
          <w:rFonts w:ascii="Liberation Sans" w:hAnsi="Liberation Sans"/>
          <w:b/>
          <w:color w:val="17324D"/>
          <w:sz w:val="36"/>
        </w:rPr>
        <w:t>Appendix C — Assumptions, limitations, and traceability</w:t>
      </w:r>
      <w:bookmarkEnd w:id="90"/>
    </w:p>
    <w:p>
      <w:pPr>
        <w:pStyle w:val="Heading2"/>
        <w:keepNext/>
        <w:keepLines/>
        <w:widowControl/>
      </w:pPr>
      <w:r>
        <w:rPr>
          <w:rFonts w:ascii="Liberation Sans" w:hAnsi="Liberation Sans"/>
          <w:b/>
          <w:color w:val="17324D"/>
          <w:sz w:val="26"/>
        </w:rPr>
        <w:t>Assumptions</w:t>
      </w:r>
    </w:p>
    <w:tbl>
      <w:tblPr>
        <w:tblStyle w:val="TableGrid"/>
        <w:tblW w:type="auto" w:w="0"/>
        <w:jc w:val="center"/>
        <w:tblLayout w:type="fixed"/>
        <w:tblLook w:firstColumn="1" w:firstRow="1" w:lastColumn="0" w:lastRow="0" w:noHBand="0" w:noVBand="1" w:val="04A0"/>
      </w:tblPr>
      <w:tblGrid>
        <w:gridCol w:w="5083"/>
        <w:gridCol w:w="5083"/>
      </w:tblGrid>
      <w:tr>
        <w:trPr>
          <w:tblHeader w:val="true"/>
          <w:cantSplit/>
        </w:trPr>
        <w:tc>
          <w:tcPr>
            <w:tcW w:type="dxa" w:w="2376"/>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Assumption</w:t>
            </w:r>
          </w:p>
        </w:tc>
        <w:tc>
          <w:tcPr>
            <w:tcW w:type="dxa" w:w="7488"/>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5"/>
              </w:rPr>
              <w:t>Locked treatment</w:t>
            </w:r>
          </w:p>
        </w:tc>
      </w:tr>
      <w:tr>
        <w:trPr>
          <w:cantSplit/>
        </w:trPr>
        <w:tc>
          <w:tcPr>
            <w:tcW w:type="dxa" w:w="23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Source records</w:t>
            </w:r>
          </w:p>
        </w:tc>
        <w:tc>
          <w:tcPr>
            <w:tcW w:type="dxa" w:w="74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The identified synthetic source records exist exactly as described.</w:t>
            </w:r>
          </w:p>
        </w:tc>
      </w:tr>
      <w:tr>
        <w:trPr>
          <w:cantSplit/>
        </w:trPr>
        <w:tc>
          <w:tcPr>
            <w:tcW w:type="dxa" w:w="23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Timestamps</w:t>
            </w:r>
          </w:p>
        </w:tc>
        <w:tc>
          <w:tcPr>
            <w:tcW w:type="dxa" w:w="74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Source-system timestamps are treated as correctly associated with their records.</w:t>
            </w:r>
          </w:p>
        </w:tc>
      </w:tr>
      <w:tr>
        <w:trPr>
          <w:cantSplit/>
        </w:trPr>
        <w:tc>
          <w:tcPr>
            <w:tcW w:type="dxa" w:w="23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Actor authentication</w:t>
            </w:r>
          </w:p>
        </w:tc>
        <w:tc>
          <w:tcPr>
            <w:tcW w:type="dxa" w:w="74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Actor IDs are assumed to resolve to authenticated fictional roles.</w:t>
            </w:r>
          </w:p>
        </w:tc>
      </w:tr>
      <w:tr>
        <w:trPr>
          <w:cantSplit/>
        </w:trPr>
        <w:tc>
          <w:tcPr>
            <w:tcW w:type="dxa" w:w="23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Financial accuracy</w:t>
            </w:r>
          </w:p>
        </w:tc>
        <w:tc>
          <w:tcPr>
            <w:tcW w:type="dxa" w:w="74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The packet does not independently validate the synthetic financial statements.</w:t>
            </w:r>
          </w:p>
        </w:tc>
      </w:tr>
      <w:tr>
        <w:trPr>
          <w:cantSplit/>
        </w:trPr>
        <w:tc>
          <w:tcPr>
            <w:tcW w:type="dxa" w:w="23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Credit quality</w:t>
            </w:r>
          </w:p>
        </w:tc>
        <w:tc>
          <w:tcPr>
            <w:tcW w:type="dxa" w:w="74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The packet does not assess whether the human credit decision was prudent.</w:t>
            </w:r>
          </w:p>
        </w:tc>
      </w:tr>
      <w:tr>
        <w:trPr>
          <w:cantSplit/>
        </w:trPr>
        <w:tc>
          <w:tcPr>
            <w:tcW w:type="dxa" w:w="23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Model performance</w:t>
            </w:r>
          </w:p>
        </w:tc>
        <w:tc>
          <w:tcPr>
            <w:tcW w:type="dxa" w:w="74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No statistical accuracy, hallucination rate, bias, fairness, robustness, or benchmark assessment is performed.</w:t>
            </w:r>
          </w:p>
        </w:tc>
      </w:tr>
      <w:tr>
        <w:trPr>
          <w:cantSplit/>
        </w:trPr>
        <w:tc>
          <w:tcPr>
            <w:tcW w:type="dxa" w:w="23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Cybersecurity</w:t>
            </w:r>
          </w:p>
        </w:tc>
        <w:tc>
          <w:tcPr>
            <w:tcW w:type="dxa" w:w="74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No penetration test, security audit, or third-party security assessment is performed.</w:t>
            </w:r>
          </w:p>
        </w:tc>
      </w:tr>
      <w:tr>
        <w:trPr>
          <w:cantSplit/>
        </w:trPr>
        <w:tc>
          <w:tcPr>
            <w:tcW w:type="dxa" w:w="23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Legal application</w:t>
            </w:r>
          </w:p>
        </w:tc>
        <w:tc>
          <w:tcPr>
            <w:tcW w:type="dxa" w:w="74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No legal determination is made concerning Regulation B or any other law.</w:t>
            </w:r>
          </w:p>
        </w:tc>
      </w:tr>
      <w:tr>
        <w:trPr>
          <w:cantSplit/>
        </w:trPr>
        <w:tc>
          <w:tcPr>
            <w:tcW w:type="dxa" w:w="23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Supervisory application</w:t>
            </w:r>
          </w:p>
        </w:tc>
        <w:tc>
          <w:tcPr>
            <w:tcW w:type="dxa" w:w="74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No conclusion is made about whether SR 26-2 applies.</w:t>
            </w:r>
          </w:p>
        </w:tc>
      </w:tr>
      <w:tr>
        <w:trPr>
          <w:cantSplit/>
        </w:trPr>
        <w:tc>
          <w:tcPr>
            <w:tcW w:type="dxa" w:w="23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Framework conformity</w:t>
            </w:r>
          </w:p>
        </w:tc>
        <w:tc>
          <w:tcPr>
            <w:tcW w:type="dxa" w:w="74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No NIST AI RMF or Generative AI Profile conformity claim is made.</w:t>
            </w:r>
          </w:p>
        </w:tc>
      </w:tr>
      <w:tr>
        <w:trPr>
          <w:cantSplit/>
        </w:trPr>
        <w:tc>
          <w:tcPr>
            <w:tcW w:type="dxa" w:w="23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Provider identity</w:t>
            </w:r>
          </w:p>
        </w:tc>
        <w:tc>
          <w:tcPr>
            <w:tcW w:type="dxa" w:w="74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Intentionally omitted from the public sample; synthetic internal vendor code retained.</w:t>
            </w:r>
          </w:p>
        </w:tc>
      </w:tr>
      <w:tr>
        <w:trPr>
          <w:cantSplit/>
        </w:trPr>
        <w:tc>
          <w:tcPr>
            <w:tcW w:type="dxa" w:w="23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Retention</w:t>
            </w:r>
          </w:p>
        </w:tc>
        <w:tc>
          <w:tcPr>
            <w:tcW w:type="dxa" w:w="74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Individual records were available at six months; required periods are not established in the synthetic evidence set.</w:t>
            </w:r>
          </w:p>
        </w:tc>
      </w:tr>
      <w:tr>
        <w:trPr>
          <w:cantSplit/>
        </w:trPr>
        <w:tc>
          <w:tcPr>
            <w:tcW w:type="dxa" w:w="23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Deletion</w:t>
            </w:r>
          </w:p>
        </w:tc>
        <w:tc>
          <w:tcPr>
            <w:tcW w:type="dxa" w:w="74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Deletion procedures are not established in the synthetic evidence set.</w:t>
            </w:r>
          </w:p>
        </w:tc>
      </w:tr>
      <w:tr>
        <w:trPr>
          <w:cantSplit/>
        </w:trPr>
        <w:tc>
          <w:tcPr>
            <w:tcW w:type="dxa" w:w="237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Public handling</w:t>
            </w:r>
          </w:p>
        </w:tc>
        <w:tc>
          <w:tcPr>
            <w:tcW w:type="dxa" w:w="7488"/>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5"/>
              </w:rPr>
              <w:t>The packet contains only synthetic information; no confidentiality guarantee is made.</w:t>
            </w:r>
          </w:p>
        </w:tc>
      </w:tr>
      <w:tr>
        <w:trPr>
          <w:cantSplit/>
        </w:trPr>
        <w:tc>
          <w:tcPr>
            <w:tcW w:type="dxa" w:w="237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Assurance</w:t>
            </w:r>
          </w:p>
        </w:tc>
        <w:tc>
          <w:tcPr>
            <w:tcW w:type="dxa" w:w="7488"/>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5"/>
              </w:rPr>
              <w:t>The packet is not an independent assurance report.</w:t>
            </w:r>
          </w:p>
        </w:tc>
      </w:tr>
    </w:tbl>
    <w:p>
      <w:pPr>
        <w:widowControl/>
        <w:spacing w:after="20"/>
      </w:pPr>
    </w:p>
    <w:p>
      <w:pPr>
        <w:pStyle w:val="Heading2"/>
        <w:keepNext/>
        <w:keepLines/>
        <w:widowControl/>
      </w:pPr>
      <w:r>
        <w:rPr>
          <w:rFonts w:ascii="Liberation Sans" w:hAnsi="Liberation Sans"/>
          <w:b/>
          <w:color w:val="17324D"/>
          <w:sz w:val="26"/>
        </w:rPr>
        <w:t>Limitations</w:t>
      </w:r>
    </w:p>
    <w:p>
      <w:pPr>
        <w:pStyle w:val="ListBullet"/>
        <w:keepNext w:val="0"/>
        <w:keepLines/>
        <w:widowControl/>
        <w:spacing w:before="0" w:after="40" w:line="240" w:lineRule="auto"/>
      </w:pPr>
      <w:r>
        <w:rPr>
          <w:rFonts w:ascii="Liberation Sans" w:hAnsi="Liberation Sans"/>
          <w:color w:val="25313B"/>
          <w:sz w:val="17"/>
        </w:rPr>
        <w:t>The evidence-readiness result applies only to the fictional workflow and synthetic transaction described.</w:t>
      </w:r>
    </w:p>
    <w:p>
      <w:pPr>
        <w:pStyle w:val="ListBullet"/>
        <w:keepNext w:val="0"/>
        <w:keepLines/>
        <w:widowControl/>
        <w:spacing w:before="0" w:after="40" w:line="240" w:lineRule="auto"/>
      </w:pPr>
      <w:r>
        <w:rPr>
          <w:rFonts w:ascii="Liberation Sans" w:hAnsi="Liberation Sans"/>
          <w:color w:val="25313B"/>
          <w:sz w:val="17"/>
        </w:rPr>
        <w:t>The packet does not validate the borrower’s financial statements or determine whether the credit decision was prudent.</w:t>
      </w:r>
    </w:p>
    <w:p>
      <w:pPr>
        <w:pStyle w:val="ListBullet"/>
        <w:keepNext w:val="0"/>
        <w:keepLines/>
        <w:widowControl/>
        <w:spacing w:before="0" w:after="40" w:line="240" w:lineRule="auto"/>
      </w:pPr>
      <w:r>
        <w:rPr>
          <w:rFonts w:ascii="Liberation Sans" w:hAnsi="Liberation Sans"/>
          <w:color w:val="25313B"/>
          <w:sz w:val="17"/>
        </w:rPr>
        <w:t>The packet does not evaluate model accuracy, hallucination frequency, bias, fairness, robustness, benchmark performance, cybersecurity, or third-party security.</w:t>
      </w:r>
    </w:p>
    <w:p>
      <w:pPr>
        <w:pStyle w:val="ListBullet"/>
        <w:keepNext w:val="0"/>
        <w:keepLines/>
        <w:widowControl/>
        <w:spacing w:before="0" w:after="40" w:line="240" w:lineRule="auto"/>
      </w:pPr>
      <w:r>
        <w:rPr>
          <w:rFonts w:ascii="Liberation Sans" w:hAnsi="Liberation Sans"/>
          <w:color w:val="25313B"/>
          <w:sz w:val="17"/>
        </w:rPr>
        <w:t>The packet does not determine whether Regulation B or another law applies and does not conclude compliance or noncompliance.</w:t>
      </w:r>
    </w:p>
    <w:p>
      <w:pPr>
        <w:pStyle w:val="ListBullet"/>
        <w:keepNext w:val="0"/>
        <w:keepLines/>
        <w:widowControl/>
        <w:spacing w:before="0" w:after="40" w:line="240" w:lineRule="auto"/>
      </w:pPr>
      <w:r>
        <w:rPr>
          <w:rFonts w:ascii="Liberation Sans" w:hAnsi="Liberation Sans"/>
          <w:color w:val="25313B"/>
          <w:sz w:val="17"/>
        </w:rPr>
        <w:t>The packet does not determine whether SR 26-2 applies and does not claim conformity with NIST AI RMF 1.0 or NIST AI 600-1.</w:t>
      </w:r>
    </w:p>
    <w:p>
      <w:pPr>
        <w:pStyle w:val="ListBullet"/>
        <w:keepNext w:val="0"/>
        <w:keepLines/>
        <w:widowControl/>
        <w:spacing w:before="0" w:after="40" w:line="240" w:lineRule="auto"/>
      </w:pPr>
      <w:r>
        <w:rPr>
          <w:rFonts w:ascii="Liberation Sans" w:hAnsi="Liberation Sans"/>
          <w:color w:val="25313B"/>
          <w:sz w:val="17"/>
        </w:rPr>
        <w:t>The packet does not establish required retention periods, identify a real provider, provide a confidentiality guarantee, issue an audit opinion, provide legal advice, certify the workflow, or guarantee acceptance by a regulator, auditor, customer, or court.</w:t>
      </w:r>
    </w:p>
    <w:p>
      <w:pPr>
        <w:pStyle w:val="Heading2"/>
        <w:keepNext/>
        <w:keepLines/>
        <w:widowControl/>
      </w:pPr>
      <w:r>
        <w:rPr>
          <w:rFonts w:ascii="Liberation Sans" w:hAnsi="Liberation Sans"/>
          <w:b/>
          <w:color w:val="17324D"/>
          <w:sz w:val="26"/>
        </w:rPr>
        <w:t>Full evidence-gap-remediation crosswalk</w:t>
      </w:r>
    </w:p>
    <w:tbl>
      <w:tblPr>
        <w:tblStyle w:val="TableGrid"/>
        <w:tblW w:type="auto" w:w="0"/>
        <w:jc w:val="center"/>
        <w:tblLayout w:type="fixed"/>
        <w:tblLook w:firstColumn="1" w:firstRow="1" w:lastColumn="0" w:lastRow="0" w:noHBand="0" w:noVBand="1" w:val="04A0"/>
      </w:tblPr>
      <w:tblGrid>
        <w:gridCol w:w="1694"/>
        <w:gridCol w:w="1694"/>
        <w:gridCol w:w="1694"/>
        <w:gridCol w:w="1694"/>
        <w:gridCol w:w="1694"/>
        <w:gridCol w:w="1694"/>
      </w:tblGrid>
      <w:tr>
        <w:trPr>
          <w:tblHeader w:val="true"/>
          <w:cantSplit/>
        </w:trPr>
        <w:tc>
          <w:tcPr>
            <w:tcW w:type="dxa" w:w="1007"/>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4"/>
              </w:rPr>
              <w:t>Evidence</w:t>
            </w:r>
          </w:p>
        </w:tc>
        <w:tc>
          <w:tcPr>
            <w:tcW w:type="dxa" w:w="1872"/>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4"/>
              </w:rPr>
              <w:t>Element</w:t>
            </w:r>
          </w:p>
        </w:tc>
        <w:tc>
          <w:tcPr>
            <w:tcW w:type="dxa" w:w="936"/>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4"/>
              </w:rPr>
              <w:t>Status</w:t>
            </w:r>
          </w:p>
        </w:tc>
        <w:tc>
          <w:tcPr>
            <w:tcW w:type="dxa" w:w="3671"/>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4"/>
              </w:rPr>
              <w:t>Record or condition</w:t>
            </w:r>
          </w:p>
        </w:tc>
        <w:tc>
          <w:tcPr>
            <w:tcW w:type="dxa" w:w="1296"/>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4"/>
              </w:rPr>
              <w:t>Gaps</w:t>
            </w:r>
          </w:p>
        </w:tc>
        <w:tc>
          <w:tcPr>
            <w:tcW w:type="dxa" w:w="1800"/>
            <w:shd w:fill="17324D"/>
            <w:tcMar>
              <w:top w:w="70" w:type="dxa"/>
              <w:start w:w="80" w:type="dxa"/>
              <w:bottom w:w="70" w:type="dxa"/>
              <w:end w:w="80" w:type="dxa"/>
            </w:tcMar>
            <w:vAlign w:val="center"/>
          </w:tcPr>
          <w:p>
            <w:pPr>
              <w:keepNext w:val="0"/>
              <w:keepLines/>
              <w:widowControl/>
              <w:spacing w:before="0" w:after="0" w:line="252" w:lineRule="auto"/>
              <w:jc w:val="left"/>
            </w:pPr>
            <w:r>
              <w:rPr>
                <w:rFonts w:ascii="Liberation Sans" w:hAnsi="Liberation Sans"/>
                <w:b/>
                <w:color w:val="FFFFFF"/>
                <w:sz w:val="14"/>
              </w:rPr>
              <w:t>Remediations</w:t>
            </w:r>
          </w:p>
        </w:tc>
      </w:tr>
      <w:tr>
        <w:trPr>
          <w:cantSplit/>
        </w:trPr>
        <w:tc>
          <w:tcPr>
            <w:tcW w:type="dxa" w:w="1007"/>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EV-01</w:t>
            </w:r>
          </w:p>
        </w:tc>
        <w:tc>
          <w:tcPr>
            <w:tcW w:type="dxa" w:w="1872"/>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Model version</w:t>
            </w:r>
          </w:p>
        </w:tc>
        <w:tc>
          <w:tcPr>
            <w:tcW w:type="dxa" w:w="93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Present</w:t>
            </w:r>
          </w:p>
        </w:tc>
        <w:tc>
          <w:tcPr>
            <w:tcW w:type="dxa" w:w="3671"/>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SYN-INV-20260112-100518-0042; SYN-MOD-01; SYN-DEP-CREDIT-MEMO-R3</w:t>
            </w:r>
          </w:p>
        </w:tc>
        <w:tc>
          <w:tcPr>
            <w:tcW w:type="dxa" w:w="129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GAP-06</w:t>
            </w:r>
          </w:p>
        </w:tc>
        <w:tc>
          <w:tcPr>
            <w:tcW w:type="dxa" w:w="180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REM-06</w:t>
            </w:r>
          </w:p>
        </w:tc>
      </w:tr>
      <w:tr>
        <w:trPr>
          <w:cantSplit/>
        </w:trPr>
        <w:tc>
          <w:tcPr>
            <w:tcW w:type="dxa" w:w="1007"/>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EV-02</w:t>
            </w:r>
          </w:p>
        </w:tc>
        <w:tc>
          <w:tcPr>
            <w:tcW w:type="dxa" w:w="1872"/>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Prompt / system instruction</w:t>
            </w:r>
          </w:p>
        </w:tc>
        <w:tc>
          <w:tcPr>
            <w:tcW w:type="dxa" w:w="93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Partial</w:t>
            </w:r>
          </w:p>
        </w:tc>
        <w:tc>
          <w:tcPr>
            <w:tcW w:type="dxa" w:w="3671"/>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SYN-PRM-CM-3.4.2; rendered prompt absent</w:t>
            </w:r>
          </w:p>
        </w:tc>
        <w:tc>
          <w:tcPr>
            <w:tcW w:type="dxa" w:w="129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GAP-01; GAP-07</w:t>
            </w:r>
          </w:p>
        </w:tc>
        <w:tc>
          <w:tcPr>
            <w:tcW w:type="dxa" w:w="180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REM-01; REM-07</w:t>
            </w:r>
          </w:p>
        </w:tc>
      </w:tr>
      <w:tr>
        <w:trPr>
          <w:cantSplit/>
        </w:trPr>
        <w:tc>
          <w:tcPr>
            <w:tcW w:type="dxa" w:w="1007"/>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EV-03</w:t>
            </w:r>
          </w:p>
        </w:tc>
        <w:tc>
          <w:tcPr>
            <w:tcW w:type="dxa" w:w="1872"/>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Input data</w:t>
            </w:r>
          </w:p>
        </w:tc>
        <w:tc>
          <w:tcPr>
            <w:tcW w:type="dxa" w:w="93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Present</w:t>
            </w:r>
          </w:p>
        </w:tc>
        <w:tc>
          <w:tcPr>
            <w:tcW w:type="dxa" w:w="3671"/>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SYN-INP-0042-01; SYN-INP-0042-02</w:t>
            </w:r>
          </w:p>
        </w:tc>
        <w:tc>
          <w:tcPr>
            <w:tcW w:type="dxa" w:w="129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GAP-07</w:t>
            </w:r>
          </w:p>
        </w:tc>
        <w:tc>
          <w:tcPr>
            <w:tcW w:type="dxa" w:w="180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REM-07</w:t>
            </w:r>
          </w:p>
        </w:tc>
      </w:tr>
      <w:tr>
        <w:trPr>
          <w:cantSplit/>
        </w:trPr>
        <w:tc>
          <w:tcPr>
            <w:tcW w:type="dxa" w:w="1007"/>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EV-04</w:t>
            </w:r>
          </w:p>
        </w:tc>
        <w:tc>
          <w:tcPr>
            <w:tcW w:type="dxa" w:w="1872"/>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Retrieved sources</w:t>
            </w:r>
          </w:p>
        </w:tc>
        <w:tc>
          <w:tcPr>
            <w:tcW w:type="dxa" w:w="93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Partial</w:t>
            </w:r>
          </w:p>
        </w:tc>
        <w:tc>
          <w:tcPr>
            <w:tcW w:type="dxa" w:w="3671"/>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SYN-RET-0042-01; corpus and documents present; chunk trace absent</w:t>
            </w:r>
          </w:p>
        </w:tc>
        <w:tc>
          <w:tcPr>
            <w:tcW w:type="dxa" w:w="129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GAP-02</w:t>
            </w:r>
          </w:p>
        </w:tc>
        <w:tc>
          <w:tcPr>
            <w:tcW w:type="dxa" w:w="180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REM-02</w:t>
            </w:r>
          </w:p>
        </w:tc>
      </w:tr>
      <w:tr>
        <w:trPr>
          <w:cantSplit/>
        </w:trPr>
        <w:tc>
          <w:tcPr>
            <w:tcW w:type="dxa" w:w="1007"/>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EV-05</w:t>
            </w:r>
          </w:p>
        </w:tc>
        <w:tc>
          <w:tcPr>
            <w:tcW w:type="dxa" w:w="1872"/>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Original output</w:t>
            </w:r>
          </w:p>
        </w:tc>
        <w:tc>
          <w:tcPr>
            <w:tcW w:type="dxa" w:w="93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Present</w:t>
            </w:r>
          </w:p>
        </w:tc>
        <w:tc>
          <w:tcPr>
            <w:tcW w:type="dxa" w:w="3671"/>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SYN-OUT-0042-V0</w:t>
            </w:r>
          </w:p>
        </w:tc>
        <w:tc>
          <w:tcPr>
            <w:tcW w:type="dxa" w:w="129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GAP-03</w:t>
            </w:r>
          </w:p>
        </w:tc>
        <w:tc>
          <w:tcPr>
            <w:tcW w:type="dxa" w:w="180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REM-03</w:t>
            </w:r>
          </w:p>
        </w:tc>
      </w:tr>
      <w:tr>
        <w:trPr>
          <w:cantSplit/>
        </w:trPr>
        <w:tc>
          <w:tcPr>
            <w:tcW w:type="dxa" w:w="1007"/>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EV-06</w:t>
            </w:r>
          </w:p>
        </w:tc>
        <w:tc>
          <w:tcPr>
            <w:tcW w:type="dxa" w:w="1872"/>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Human reviewer</w:t>
            </w:r>
          </w:p>
        </w:tc>
        <w:tc>
          <w:tcPr>
            <w:tcW w:type="dxa" w:w="93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Present</w:t>
            </w:r>
          </w:p>
        </w:tc>
        <w:tc>
          <w:tcPr>
            <w:tcW w:type="dxa" w:w="3671"/>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SYN-REV-0042-01; V0-to-V2 lineage</w:t>
            </w:r>
          </w:p>
        </w:tc>
        <w:tc>
          <w:tcPr>
            <w:tcW w:type="dxa" w:w="129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GAP-05; GAP-03</w:t>
            </w:r>
          </w:p>
        </w:tc>
        <w:tc>
          <w:tcPr>
            <w:tcW w:type="dxa" w:w="180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REM-05; REM-03</w:t>
            </w:r>
          </w:p>
        </w:tc>
      </w:tr>
      <w:tr>
        <w:trPr>
          <w:cantSplit/>
        </w:trPr>
        <w:tc>
          <w:tcPr>
            <w:tcW w:type="dxa" w:w="1007"/>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EV-07</w:t>
            </w:r>
          </w:p>
        </w:tc>
        <w:tc>
          <w:tcPr>
            <w:tcW w:type="dxa" w:w="1872"/>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Approval / override</w:t>
            </w:r>
          </w:p>
        </w:tc>
        <w:tc>
          <w:tcPr>
            <w:tcW w:type="dxa" w:w="93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Present</w:t>
            </w:r>
          </w:p>
        </w:tc>
        <w:tc>
          <w:tcPr>
            <w:tcW w:type="dxa" w:w="3671"/>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SYN-APR-0042-01; SYN-EXC-0042-01/02</w:t>
            </w:r>
          </w:p>
        </w:tc>
        <w:tc>
          <w:tcPr>
            <w:tcW w:type="dxa" w:w="1296"/>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GAP-05; GAP-03</w:t>
            </w:r>
          </w:p>
        </w:tc>
        <w:tc>
          <w:tcPr>
            <w:tcW w:type="dxa" w:w="1800"/>
            <w:tcMar>
              <w:top w:w="70" w:type="dxa"/>
              <w:start w:w="80" w:type="dxa"/>
              <w:bottom w:w="70" w:type="dxa"/>
              <w:end w:w="80" w:type="dxa"/>
            </w:tcMar>
            <w:vAlign w:val="top"/>
            <w:shd w:fill="F7F9FA"/>
          </w:tcPr>
          <w:p>
            <w:pPr>
              <w:keepNext w:val="0"/>
              <w:keepLines/>
              <w:widowControl/>
              <w:spacing w:before="0" w:after="0" w:line="240" w:lineRule="auto"/>
            </w:pPr>
            <w:r>
              <w:rPr>
                <w:rFonts w:ascii="Liberation Sans" w:hAnsi="Liberation Sans"/>
                <w:b w:val="0"/>
                <w:color w:val="25313B"/>
                <w:sz w:val="14"/>
              </w:rPr>
              <w:t>REM-05; REM-03</w:t>
            </w:r>
          </w:p>
        </w:tc>
      </w:tr>
      <w:tr>
        <w:trPr>
          <w:cantSplit/>
        </w:trPr>
        <w:tc>
          <w:tcPr>
            <w:tcW w:type="dxa" w:w="1007"/>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EV-08</w:t>
            </w:r>
          </w:p>
        </w:tc>
        <w:tc>
          <w:tcPr>
            <w:tcW w:type="dxa" w:w="1872"/>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Retained evidence</w:t>
            </w:r>
          </w:p>
        </w:tc>
        <w:tc>
          <w:tcPr>
            <w:tcW w:type="dxa" w:w="93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Missing</w:t>
            </w:r>
          </w:p>
        </w:tc>
        <w:tc>
          <w:tcPr>
            <w:tcW w:type="dxa" w:w="3671"/>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Individual records available; governed chain absent</w:t>
            </w:r>
          </w:p>
        </w:tc>
        <w:tc>
          <w:tcPr>
            <w:tcW w:type="dxa" w:w="1296"/>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GAP-03; GAP-04</w:t>
            </w:r>
          </w:p>
        </w:tc>
        <w:tc>
          <w:tcPr>
            <w:tcW w:type="dxa" w:w="1800"/>
            <w:tcMar>
              <w:top w:w="70" w:type="dxa"/>
              <w:start w:w="80" w:type="dxa"/>
              <w:bottom w:w="70" w:type="dxa"/>
              <w:end w:w="80" w:type="dxa"/>
            </w:tcMar>
            <w:vAlign w:val="top"/>
          </w:tcPr>
          <w:p>
            <w:pPr>
              <w:keepNext w:val="0"/>
              <w:keepLines/>
              <w:widowControl/>
              <w:spacing w:before="0" w:after="0" w:line="240" w:lineRule="auto"/>
            </w:pPr>
            <w:r>
              <w:rPr>
                <w:rFonts w:ascii="Liberation Sans" w:hAnsi="Liberation Sans"/>
                <w:b w:val="0"/>
                <w:color w:val="25313B"/>
                <w:sz w:val="14"/>
              </w:rPr>
              <w:t>REM-03; REM-04; REM-08</w:t>
            </w:r>
          </w:p>
        </w:tc>
      </w:tr>
    </w:tbl>
    <w:p>
      <w:pPr>
        <w:widowControl/>
        <w:spacing w:after="20"/>
      </w:pPr>
    </w:p>
    <w:p>
      <w:pPr>
        <w:pStyle w:val="Heading2"/>
        <w:keepNext/>
        <w:keepLines/>
        <w:widowControl/>
      </w:pPr>
      <w:r>
        <w:rPr>
          <w:rFonts w:ascii="Liberation Sans" w:hAnsi="Liberation Sans"/>
          <w:b/>
          <w:color w:val="17324D"/>
          <w:sz w:val="26"/>
        </w:rPr>
        <w:t>Professional boundary</w:t>
      </w:r>
    </w:p>
    <w:tbl>
      <w:tblPr>
        <w:tblW w:type="auto" w:w="0"/>
        <w:jc w:val="center"/>
        <w:tblLayout w:type="fixed"/>
        <w:tblLook w:firstColumn="1" w:firstRow="1" w:lastColumn="0" w:lastRow="0" w:noHBand="0" w:noVBand="1" w:val="04A0"/>
      </w:tblPr>
      <w:tblGrid>
        <w:gridCol w:w="10166"/>
      </w:tblGrid>
      <w:tr>
        <w:tc>
          <w:tcPr>
            <w:tcW w:type="dxa" w:w="10008"/>
            <w:shd w:fill="F4F7F9"/>
            <w:tcMar>
              <w:top w:w="120" w:type="dxa"/>
              <w:start w:w="150" w:type="dxa"/>
              <w:bottom w:w="120" w:type="dxa"/>
              <w:end w:w="150" w:type="dxa"/>
            </w:tcMar>
            <w:vAlign w:val="center"/>
            <w:tcBorders>
              <w:top w:val="single" w:sz="8" w:color="17324D"/>
              <w:left w:val="single" w:sz="8" w:color="17324D"/>
              <w:bottom w:val="single" w:sz="8" w:color="17324D"/>
              <w:right w:val="single" w:sz="8" w:color="17324D"/>
            </w:tcBorders>
          </w:tcPr>
          <w:p>
            <w:pPr>
              <w:keepNext/>
              <w:keepLines/>
              <w:widowControl/>
              <w:spacing w:before="0" w:after="60" w:line="252" w:lineRule="auto"/>
            </w:pPr>
            <w:r>
              <w:rPr>
                <w:rFonts w:ascii="Liberation Sans" w:hAnsi="Liberation Sans"/>
                <w:b/>
                <w:color w:val="17324D"/>
                <w:sz w:val="20"/>
              </w:rPr>
              <w:t>Professional boundary</w:t>
            </w:r>
          </w:p>
          <w:p>
            <w:pPr>
              <w:keepNext w:val="0"/>
              <w:keepLines/>
              <w:widowControl/>
              <w:spacing w:before="0" w:after="0" w:line="252" w:lineRule="auto"/>
            </w:pPr>
            <w:r>
              <w:rPr>
                <w:rFonts w:ascii="Liberation Sans" w:hAnsi="Liberation Sans"/>
                <w:color w:val="25313B"/>
                <w:sz w:val="18"/>
              </w:rPr>
              <w:t>Invariant Engineering provides technical AI auditability engineering, evidence-readiness assessments, and remediation support. We do not provide legal advice, issue independent audit opinions, certify compliance, or act as the client’s external auditor.</w:t>
            </w:r>
          </w:p>
        </w:tc>
      </w:tr>
    </w:tbl>
    <w:p>
      <w:pPr>
        <w:widowControl/>
      </w:pPr>
      <w:bookmarkStart w:id="200" w:name="Bottom"/>
      <w:bookmarkEnd w:id="200"/>
    </w:p>
    <w:sectPr w:rsidR="00FC693F" w:rsidRPr="0006063C" w:rsidSect="00034616">
      <w:pgSz w:w="12240" w:h="15840"/>
      <w:pgMar w:top="936" w:right="1037" w:bottom="936" w:left="1037" w:header="360" w:footer="36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E6A73"/>
        <w:sz w:val="16"/>
      </w:rPr>
      <w:t xml:space="preserve">Page </w:t>
    </w:r>
    <w:r>
      <w:rPr>
        <w:rFonts w:ascii="Liberation Sans" w:hAnsi="Liberation Sans"/>
        <w:color w:val="5E6A73"/>
        <w:sz w:val="16"/>
      </w:rPr>
      <w:fldChar w:fldCharType="begin"/>
      <w:instrText xml:space="preserve">PAGE</w:instrText>
      <w:fldChar w:fldCharType="end"/>
    </w:r>
    <w:r>
      <w:rPr>
        <w:rFonts w:ascii="Liberation Sans" w:hAnsi="Liberation Sans"/>
        <w:color w:val="5E6A73"/>
        <w:sz w:val="16"/>
      </w:rPr>
      <w:t xml:space="preserve"> of </w:t>
    </w:r>
    <w:r>
      <w:rPr>
        <w:rFonts w:ascii="Liberation Sans" w:hAnsi="Liberation Sans"/>
        <w:color w:val="5E6A73"/>
        <w:sz w:val="16"/>
      </w:rPr>
      <w:fldChar w:fldCharType="begin"/>
      <w:instrText xml:space="preserve">NUMPAGES</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color w:val="5E6A73"/>
        <w:sz w:val="15"/>
      </w:rPr>
      <w:t>Invariant Engineering | Synthetic Auditability Sample Packet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Liberation Sans" w:hAnsi="Liberation Sans"/>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Liberation Sans" w:hAnsi="Liberation Sans"/>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Liberation Sans" w:hAnsi="Liberation Sans"/>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Liberation Sans" w:hAnsi="Liberation Sans"/>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Liberation Sans" w:hAnsi="Liberation Sans"/>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Liberation Sans" w:hAnsi="Liberation Sans"/>
    </w:rPr>
  </w:style>
  <w:style w:type="paragraph" w:styleId="ListBullet2">
    <w:name w:val="List Bullet 2"/>
    <w:basedOn w:val="Normal"/>
    <w:uiPriority w:val="99"/>
    <w:unhideWhenUsed/>
    <w:rsid w:val="00326F90"/>
    <w:pPr>
      <w:numPr>
        <w:numId w:val="2"/>
      </w:numPr>
      <w:contextualSpacing/>
    </w:pPr>
    <w:rPr>
      <w:rFonts w:ascii="Liberation Sans" w:hAnsi="Liberation Sans"/>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Liberation Sans" w:hAnsi="Liberation Sans"/>
    </w:rPr>
  </w:style>
  <w:style w:type="paragraph" w:styleId="ListNumber2">
    <w:name w:val="List Number 2"/>
    <w:basedOn w:val="Normal"/>
    <w:uiPriority w:val="99"/>
    <w:unhideWhenUsed/>
    <w:rsid w:val="0029639D"/>
    <w:pPr>
      <w:numPr>
        <w:numId w:val="6"/>
      </w:numPr>
      <w:contextualSpacing/>
    </w:pPr>
    <w:rPr>
      <w:rFonts w:ascii="Liberation Sans" w:hAnsi="Liberation Sans"/>
    </w:r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factLabel">
    <w:name w:val="Artifact Label"/>
    <w:rPr>
      <w:rFonts w:ascii="Liberation Sans" w:hAnsi="Liberation Sans"/>
      <w:b/>
      <w:color w:val="287D7A"/>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eader" Target="head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hyperlink" Target="https://www.invariantengineering.com/audit-grill-me-methodology" TargetMode="External"/><Relationship Id="rId16" Type="http://schemas.openxmlformats.org/officeDocument/2006/relationships/hyperlink" Target="https://www.invariantengineering.com/audit-grill-me-worksheet" TargetMode="External"/><Relationship Id="rId17" Type="http://schemas.openxmlformats.org/officeDocument/2006/relationships/hyperlink" Target="https://www.consumerfinance.gov/rules-policy/regulations/1002/" TargetMode="External"/><Relationship Id="rId18" Type="http://schemas.openxmlformats.org/officeDocument/2006/relationships/hyperlink" Target="https://www.consumerfinance.gov/compliance/guidance/withdrawn-guidance/" TargetMode="External"/><Relationship Id="rId19" Type="http://schemas.openxmlformats.org/officeDocument/2006/relationships/hyperlink" Target="https://www.federalreserve.gov/supervisionreg/srletters/SR2602.htm" TargetMode="External"/><Relationship Id="rId20" Type="http://schemas.openxmlformats.org/officeDocument/2006/relationships/hyperlink" Target="https://nvlpubs.nist.gov/nistpubs/ai/nist.ai.100-1.pdf" TargetMode="External"/><Relationship Id="rId21" Type="http://schemas.openxmlformats.org/officeDocument/2006/relationships/hyperlink" Target="https://nvlpubs.nist.gov/nistpubs/ai/NIST.AI.600-1.pdf" TargetMode="External"/><Relationship Id="rId22" Type="http://schemas.openxmlformats.org/officeDocument/2006/relationships/hyperlink" Target="https://www.invariantengineering.com/engagements" TargetMode="External"/><Relationship Id="rId23" Type="http://schemas.openxmlformats.org/officeDocument/2006/relationships/hyperlink" Target="https://www.invariantengineering.com/apply?source=engagements&amp;intent=audit-grill-me-sprint" TargetMode="External"/><Relationship Id="rId24" Type="http://schemas.openxmlformats.org/officeDocument/2006/relationships/hyperlink" Target="https://www.invariantengineering.com/audit-grill-me-spr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Invariant Engineering Synthetic Auditability Sample Packet</dc:title>
  <dc:subject>AI workflow auditability evidence map, reconstruction test, gap register, audit committee memo, and remediation backlog</dc:subject>
  <dc:creator>Invariant Engineering Group LLC</dc:creator>
  <cp:keywords>AI auditability, Six-Month Reconstruction Test, Audit Grill-Me, synthetic sample, workflow evidence</cp:keywords>
  <dc:description>Canonical synthetic sample packet, packet version 1.0, reviewed July 24, 2026.</dc:description>
  <cp:lastModifiedBy/>
  <cp:revision>1</cp:revision>
  <dcterms:created xsi:type="dcterms:W3CDTF">2013-12-23T23:15:00Z</dcterms:created>
  <dcterms:modified xsi:type="dcterms:W3CDTF">2013-12-23T23:15:00Z</dcterms:modified>
  <cp:category/>
</cp:coreProperties>
</file>